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2D68FD" w:rsidP="004F5F93">
      <w:pPr>
        <w:spacing w:beforeLines="50"/>
        <w:jc w:val="center"/>
        <w:rPr>
          <w:rFonts w:ascii="仿宋_GB2312" w:eastAsia="仿宋_GB2312" w:hAnsi="仿宋"/>
          <w:color w:val="000000" w:themeColor="text1"/>
          <w:sz w:val="44"/>
          <w:szCs w:val="44"/>
        </w:rPr>
      </w:pPr>
      <w:bookmarkStart w:id="0" w:name="_Toc428995996"/>
      <w:bookmarkStart w:id="1" w:name="_Hlk18396115"/>
      <w:r w:rsidRPr="002D68FD">
        <w:rPr>
          <w:rFonts w:ascii="仿宋_GB2312" w:eastAsia="仿宋_GB2312" w:hAnsi="仿宋" w:hint="eastAsia"/>
          <w:color w:val="000000" w:themeColor="text1"/>
          <w:sz w:val="44"/>
          <w:szCs w:val="44"/>
        </w:rPr>
        <w:t>电力中长期交易基本规则（暂行）</w:t>
      </w:r>
    </w:p>
    <w:bookmarkEnd w:id="1"/>
    <w:p w:rsidR="00000000" w:rsidRDefault="00FC27DC" w:rsidP="004F5F93">
      <w:pPr>
        <w:adjustRightInd w:val="0"/>
        <w:snapToGrid w:val="0"/>
        <w:spacing w:beforeLines="50" w:afterLines="50"/>
        <w:jc w:val="center"/>
        <w:rPr>
          <w:rFonts w:ascii="仿宋_GB2312" w:eastAsia="仿宋_GB2312" w:hAnsi="仿宋"/>
          <w:color w:val="000000" w:themeColor="text1"/>
          <w:sz w:val="32"/>
          <w:szCs w:val="32"/>
          <w:lang w:val="zh-CN"/>
        </w:rPr>
      </w:pPr>
    </w:p>
    <w:p w:rsidR="00C60152" w:rsidRPr="0078040E" w:rsidRDefault="002D68FD">
      <w:pPr>
        <w:pStyle w:val="1"/>
        <w:spacing w:before="120" w:after="120" w:line="240" w:lineRule="auto"/>
        <w:jc w:val="center"/>
        <w:rPr>
          <w:rFonts w:ascii="仿宋_GB2312" w:eastAsia="仿宋_GB2312" w:hAnsi="仿宋"/>
          <w:color w:val="000000" w:themeColor="text1"/>
          <w:sz w:val="32"/>
          <w:szCs w:val="32"/>
        </w:rPr>
      </w:pPr>
      <w:bookmarkStart w:id="2" w:name="_Toc430684122"/>
      <w:bookmarkStart w:id="3" w:name="_Toc430176613"/>
      <w:bookmarkEnd w:id="0"/>
      <w:r w:rsidRPr="002D68FD">
        <w:rPr>
          <w:rFonts w:ascii="仿宋_GB2312" w:eastAsia="仿宋_GB2312" w:hAnsi="仿宋"/>
          <w:color w:val="000000" w:themeColor="text1"/>
          <w:sz w:val="32"/>
          <w:szCs w:val="32"/>
        </w:rPr>
        <w:t>第一章 总 则</w:t>
      </w:r>
      <w:bookmarkEnd w:id="2"/>
    </w:p>
    <w:bookmarkEnd w:id="3"/>
    <w:p w:rsidR="009D5FC0" w:rsidRPr="0078040E" w:rsidRDefault="002D68FD" w:rsidP="00AD6D54">
      <w:pPr>
        <w:numPr>
          <w:ilvl w:val="0"/>
          <w:numId w:val="1"/>
        </w:numPr>
        <w:tabs>
          <w:tab w:val="clear" w:pos="1429"/>
        </w:tabs>
        <w:spacing w:line="560" w:lineRule="exact"/>
        <w:ind w:left="0" w:firstLineChars="200" w:firstLine="640"/>
        <w:rPr>
          <w:rFonts w:ascii="仿宋_GB2312" w:eastAsia="仿宋_GB2312" w:hAnsi="仿宋"/>
          <w:color w:val="000000" w:themeColor="text1"/>
          <w:sz w:val="32"/>
          <w:szCs w:val="32"/>
        </w:rPr>
      </w:pPr>
      <w:r w:rsidRPr="002D68FD">
        <w:rPr>
          <w:rFonts w:ascii="仿宋_GB2312" w:eastAsia="仿宋_GB2312" w:hAnsi="仿宋" w:hint="eastAsia"/>
          <w:color w:val="000000" w:themeColor="text1"/>
          <w:sz w:val="32"/>
          <w:szCs w:val="32"/>
        </w:rPr>
        <w:t xml:space="preserve"> 为规范电力中长期交易，依法维护电力市场主体的合法权益，推进统一开放、竞争有序的电力市场体系建设，根据《中共中央</w:t>
      </w:r>
      <w:r w:rsidRPr="002D68FD">
        <w:rPr>
          <w:rFonts w:ascii="仿宋_GB2312" w:eastAsia="仿宋_GB2312" w:hAnsi="仿宋"/>
          <w:color w:val="000000" w:themeColor="text1"/>
          <w:sz w:val="32"/>
          <w:szCs w:val="32"/>
        </w:rPr>
        <w:t xml:space="preserve"> </w:t>
      </w:r>
      <w:r w:rsidRPr="002D68FD">
        <w:rPr>
          <w:rFonts w:ascii="仿宋_GB2312" w:eastAsia="仿宋_GB2312" w:hAnsi="仿宋" w:hint="eastAsia"/>
          <w:color w:val="000000" w:themeColor="text1"/>
          <w:sz w:val="32"/>
          <w:szCs w:val="32"/>
        </w:rPr>
        <w:t>国务院关于进一步深化电力体制改革的若干意见》（中发〔2015〕9号）及其配套文件和有关法律、法规规定，制定本规则。</w:t>
      </w:r>
    </w:p>
    <w:p w:rsidR="00000000" w:rsidRDefault="002D68FD">
      <w:pPr>
        <w:pStyle w:val="af1"/>
        <w:numPr>
          <w:ilvl w:val="0"/>
          <w:numId w:val="1"/>
        </w:numPr>
        <w:tabs>
          <w:tab w:val="clear" w:pos="1429"/>
          <w:tab w:val="left" w:pos="0"/>
        </w:tabs>
        <w:spacing w:line="560" w:lineRule="exact"/>
        <w:ind w:left="0" w:firstLineChars="200" w:firstLine="640"/>
        <w:jc w:val="both"/>
        <w:rPr>
          <w:rFonts w:ascii="仿宋_GB2312" w:eastAsia="仿宋_GB2312" w:hAnsi="仿宋"/>
          <w:color w:val="000000" w:themeColor="text1"/>
          <w:sz w:val="32"/>
          <w:szCs w:val="32"/>
        </w:rPr>
      </w:pPr>
      <w:bookmarkStart w:id="4" w:name="OLE_LINK69"/>
      <w:bookmarkStart w:id="5" w:name="OLE_LINK70"/>
      <w:r w:rsidRPr="002D68FD">
        <w:rPr>
          <w:rFonts w:ascii="仿宋_GB2312" w:eastAsia="仿宋_GB2312" w:hAnsi="仿宋"/>
          <w:color w:val="000000" w:themeColor="text1"/>
          <w:sz w:val="32"/>
          <w:szCs w:val="32"/>
        </w:rPr>
        <w:t xml:space="preserve"> </w:t>
      </w:r>
      <w:bookmarkEnd w:id="4"/>
      <w:bookmarkEnd w:id="5"/>
      <w:r w:rsidRPr="002D68FD">
        <w:rPr>
          <w:rFonts w:ascii="仿宋_GB2312" w:eastAsia="仿宋_GB2312" w:hAnsi="仿宋" w:hint="eastAsia"/>
          <w:color w:val="000000" w:themeColor="text1"/>
          <w:sz w:val="32"/>
          <w:szCs w:val="32"/>
        </w:rPr>
        <w:t>未开展电力现货交易的地区，电力中长期交易执行本规则。开展电力现货交易的地区，可结合实际，制定与现货交易相衔接的电力中长期交易规则。</w:t>
      </w:r>
    </w:p>
    <w:p w:rsidR="00180CBF" w:rsidRPr="0078040E" w:rsidRDefault="002D68FD">
      <w:pPr>
        <w:numPr>
          <w:ilvl w:val="0"/>
          <w:numId w:val="1"/>
        </w:numPr>
        <w:spacing w:line="560" w:lineRule="exact"/>
        <w:ind w:left="0"/>
        <w:rPr>
          <w:rFonts w:ascii="仿宋_GB2312" w:eastAsia="仿宋_GB2312" w:hAnsi="仿宋"/>
          <w:color w:val="000000" w:themeColor="text1"/>
          <w:sz w:val="32"/>
          <w:szCs w:val="32"/>
        </w:rPr>
      </w:pPr>
      <w:r w:rsidRPr="002D68FD">
        <w:rPr>
          <w:rFonts w:ascii="仿宋_GB2312" w:eastAsia="仿宋_GB2312" w:hAnsi="仿宋"/>
          <w:color w:val="000000" w:themeColor="text1"/>
        </w:rPr>
        <w:t xml:space="preserve"> </w:t>
      </w:r>
      <w:r w:rsidRPr="002D68FD">
        <w:rPr>
          <w:rFonts w:ascii="仿宋_GB2312" w:eastAsia="仿宋_GB2312" w:hAnsi="仿宋" w:hint="eastAsia"/>
          <w:color w:val="000000" w:themeColor="text1"/>
          <w:sz w:val="32"/>
          <w:szCs w:val="32"/>
        </w:rPr>
        <w:t>本规则所称电力中长期交易指发电企业、电力用户、售电公司等市场主体，通过双边协商、集中交易等市场化方式，开展的多年、年、季、月、周、多日等电力批发交易。</w:t>
      </w:r>
      <w:r w:rsidRPr="002D68FD">
        <w:rPr>
          <w:rFonts w:ascii="仿宋_GB2312" w:eastAsia="仿宋_GB2312" w:hAnsi="仿宋"/>
          <w:color w:val="000000" w:themeColor="text1"/>
          <w:sz w:val="32"/>
          <w:szCs w:val="32"/>
        </w:rPr>
        <w:t xml:space="preserve"> </w:t>
      </w:r>
    </w:p>
    <w:p w:rsidR="003E662F" w:rsidRPr="0078040E" w:rsidRDefault="002D68FD" w:rsidP="00180CBF">
      <w:pPr>
        <w:spacing w:line="560" w:lineRule="exact"/>
        <w:ind w:firstLineChars="200" w:firstLine="640"/>
        <w:rPr>
          <w:rFonts w:ascii="仿宋_GB2312" w:eastAsia="仿宋_GB2312" w:hAnsi="仿宋"/>
          <w:color w:val="000000" w:themeColor="text1"/>
          <w:sz w:val="32"/>
          <w:szCs w:val="32"/>
        </w:rPr>
      </w:pPr>
      <w:r w:rsidRPr="002D68FD">
        <w:rPr>
          <w:rFonts w:ascii="仿宋_GB2312" w:eastAsia="仿宋_GB2312" w:hAnsi="仿宋" w:hint="eastAsia"/>
          <w:color w:val="000000" w:themeColor="text1"/>
          <w:sz w:val="32"/>
          <w:szCs w:val="32"/>
        </w:rPr>
        <w:t>执行政府定价的优先发电电量和分配给燃煤（气）机组的基数电量（二者统称为计划电量）视为厂网间双边交易电量，签订厂网间购售电合同，相应合同纳入电力中长期交易合同管理范畴，其执行和结算均须遵守本规则。</w:t>
      </w:r>
    </w:p>
    <w:p w:rsidR="00C60152" w:rsidRPr="0078040E" w:rsidRDefault="002D68FD" w:rsidP="00180CBF">
      <w:pPr>
        <w:spacing w:line="560" w:lineRule="exact"/>
        <w:ind w:firstLineChars="200" w:firstLine="640"/>
        <w:rPr>
          <w:rFonts w:ascii="仿宋_GB2312" w:eastAsia="仿宋_GB2312" w:hAnsi="仿宋"/>
          <w:color w:val="000000" w:themeColor="text1"/>
          <w:sz w:val="32"/>
          <w:szCs w:val="32"/>
        </w:rPr>
      </w:pPr>
      <w:r w:rsidRPr="002D68FD">
        <w:rPr>
          <w:rFonts w:ascii="仿宋_GB2312" w:eastAsia="仿宋_GB2312" w:hAnsi="仿宋" w:hint="eastAsia"/>
          <w:color w:val="000000" w:themeColor="text1"/>
          <w:sz w:val="32"/>
          <w:szCs w:val="32"/>
        </w:rPr>
        <w:t>电力辅助服务市场（补偿）机制相关规则另行制定。</w:t>
      </w:r>
    </w:p>
    <w:p w:rsidR="00C60152" w:rsidRPr="0078040E" w:rsidRDefault="002D68FD">
      <w:pPr>
        <w:pStyle w:val="af1"/>
        <w:numPr>
          <w:ilvl w:val="0"/>
          <w:numId w:val="1"/>
        </w:numPr>
        <w:tabs>
          <w:tab w:val="clear" w:pos="1429"/>
          <w:tab w:val="left" w:pos="0"/>
        </w:tabs>
        <w:spacing w:line="560" w:lineRule="exact"/>
        <w:ind w:left="0" w:firstLineChars="200" w:firstLine="640"/>
        <w:jc w:val="both"/>
        <w:rPr>
          <w:rFonts w:ascii="仿宋_GB2312" w:eastAsia="仿宋_GB2312" w:hAnsi="仿宋"/>
          <w:color w:val="000000" w:themeColor="text1"/>
        </w:rPr>
      </w:pPr>
      <w:r w:rsidRPr="002D68FD">
        <w:rPr>
          <w:rFonts w:ascii="仿宋_GB2312" w:eastAsia="仿宋_GB2312" w:hAnsi="仿宋"/>
          <w:color w:val="000000" w:themeColor="text1"/>
          <w:sz w:val="32"/>
          <w:szCs w:val="32"/>
        </w:rPr>
        <w:t xml:space="preserve"> </w:t>
      </w:r>
      <w:r w:rsidRPr="002D68FD">
        <w:rPr>
          <w:rFonts w:ascii="仿宋_GB2312" w:eastAsia="仿宋_GB2312" w:hAnsi="仿宋" w:hint="eastAsia"/>
          <w:color w:val="000000" w:themeColor="text1"/>
          <w:sz w:val="32"/>
          <w:szCs w:val="32"/>
        </w:rPr>
        <w:t>电力市场成员应当严格遵守市场规则，自觉自律，不得操纵市场价格、损害其他市场主体的合法权益。</w:t>
      </w:r>
    </w:p>
    <w:p w:rsidR="00C60152" w:rsidRPr="0078040E" w:rsidRDefault="002D68FD">
      <w:pPr>
        <w:pStyle w:val="af1"/>
        <w:tabs>
          <w:tab w:val="left" w:pos="0"/>
        </w:tabs>
        <w:spacing w:line="560" w:lineRule="exact"/>
        <w:ind w:firstLine="640"/>
        <w:jc w:val="both"/>
        <w:rPr>
          <w:rFonts w:ascii="仿宋_GB2312" w:eastAsia="仿宋_GB2312" w:hAnsi="仿宋"/>
          <w:color w:val="000000" w:themeColor="text1"/>
        </w:rPr>
      </w:pPr>
      <w:r w:rsidRPr="002D68FD">
        <w:rPr>
          <w:rFonts w:ascii="仿宋_GB2312" w:eastAsia="仿宋_GB2312" w:hAnsi="仿宋" w:hint="eastAsia"/>
          <w:color w:val="000000" w:themeColor="text1"/>
          <w:sz w:val="32"/>
          <w:szCs w:val="32"/>
        </w:rPr>
        <w:t>任何单位和个人不得非法干预市场正常运行。</w:t>
      </w:r>
    </w:p>
    <w:p w:rsidR="00C60152" w:rsidRPr="0078040E" w:rsidRDefault="002D68FD">
      <w:pPr>
        <w:pStyle w:val="af1"/>
        <w:numPr>
          <w:ilvl w:val="0"/>
          <w:numId w:val="1"/>
        </w:numPr>
        <w:tabs>
          <w:tab w:val="left" w:pos="0"/>
          <w:tab w:val="left" w:pos="1429"/>
        </w:tabs>
        <w:spacing w:line="560" w:lineRule="exact"/>
        <w:ind w:left="0" w:firstLineChars="200" w:firstLine="640"/>
        <w:jc w:val="both"/>
        <w:rPr>
          <w:rFonts w:ascii="仿宋_GB2312" w:eastAsia="仿宋_GB2312" w:hAnsi="仿宋"/>
          <w:color w:val="000000" w:themeColor="text1"/>
          <w:sz w:val="32"/>
          <w:szCs w:val="32"/>
        </w:rPr>
      </w:pPr>
      <w:r w:rsidRPr="002D68FD">
        <w:rPr>
          <w:rFonts w:ascii="仿宋_GB2312" w:eastAsia="仿宋_GB2312" w:hAnsi="仿宋" w:hint="eastAsia"/>
          <w:color w:val="000000" w:themeColor="text1"/>
          <w:sz w:val="32"/>
          <w:szCs w:val="32"/>
        </w:rPr>
        <w:lastRenderedPageBreak/>
        <w:t xml:space="preserve"> 国家发展改革委和国家能源局会同有关部门加强对各地发用电计划放开实施方案制定和具体工作推进的指导和监督；适时组织评估有序放开发用电计划工作，总结经验、分析问题、完善政策。</w:t>
      </w:r>
    </w:p>
    <w:p w:rsidR="00C60152" w:rsidRPr="0078040E" w:rsidRDefault="002D68FD">
      <w:pPr>
        <w:pStyle w:val="af1"/>
        <w:tabs>
          <w:tab w:val="left" w:pos="0"/>
        </w:tabs>
        <w:spacing w:line="560" w:lineRule="exact"/>
        <w:ind w:firstLineChars="200" w:firstLine="640"/>
        <w:jc w:val="both"/>
        <w:rPr>
          <w:rFonts w:ascii="仿宋_GB2312" w:eastAsia="仿宋_GB2312" w:hAnsi="仿宋"/>
          <w:color w:val="000000" w:themeColor="text1"/>
          <w:sz w:val="32"/>
          <w:szCs w:val="32"/>
        </w:rPr>
      </w:pPr>
      <w:r w:rsidRPr="002D68FD">
        <w:rPr>
          <w:rFonts w:ascii="仿宋_GB2312" w:eastAsia="仿宋_GB2312" w:hAnsi="仿宋" w:hint="eastAsia"/>
          <w:color w:val="000000" w:themeColor="text1"/>
          <w:sz w:val="32"/>
          <w:szCs w:val="32"/>
        </w:rPr>
        <w:t>国家能源局依法组织制定电力市场规划、市场规则、市场监管办法，</w:t>
      </w:r>
      <w:r w:rsidR="0078040E">
        <w:rPr>
          <w:rFonts w:ascii="仿宋_GB2312" w:eastAsia="仿宋_GB2312" w:hAnsi="仿宋" w:hint="eastAsia"/>
          <w:sz w:val="32"/>
          <w:szCs w:val="32"/>
        </w:rPr>
        <w:t>区域派出</w:t>
      </w:r>
      <w:r w:rsidR="00602ACE">
        <w:rPr>
          <w:rFonts w:ascii="仿宋_GB2312" w:eastAsia="仿宋_GB2312" w:hAnsi="仿宋" w:hint="eastAsia"/>
          <w:sz w:val="32"/>
          <w:szCs w:val="32"/>
        </w:rPr>
        <w:t>监管</w:t>
      </w:r>
      <w:r w:rsidR="0078040E">
        <w:rPr>
          <w:rFonts w:ascii="仿宋_GB2312" w:eastAsia="仿宋_GB2312" w:hAnsi="仿宋" w:hint="eastAsia"/>
          <w:sz w:val="32"/>
          <w:szCs w:val="32"/>
        </w:rPr>
        <w:t>机构会同地方政府对区域电力市场和区域电力交易机构实施监管</w:t>
      </w:r>
      <w:r w:rsidRPr="002D68FD">
        <w:rPr>
          <w:rFonts w:ascii="仿宋_GB2312" w:eastAsia="仿宋_GB2312" w:hAnsi="仿宋" w:hint="eastAsia"/>
          <w:color w:val="000000" w:themeColor="text1"/>
          <w:sz w:val="32"/>
          <w:szCs w:val="32"/>
        </w:rPr>
        <w:t>。</w:t>
      </w:r>
    </w:p>
    <w:p w:rsidR="00C60152" w:rsidRPr="0078040E" w:rsidRDefault="002D68FD">
      <w:pPr>
        <w:spacing w:line="560" w:lineRule="exact"/>
        <w:ind w:firstLineChars="200" w:firstLine="640"/>
        <w:rPr>
          <w:rFonts w:ascii="仿宋_GB2312" w:eastAsia="仿宋_GB2312" w:hAnsi="仿宋"/>
          <w:color w:val="000000" w:themeColor="text1"/>
          <w:sz w:val="32"/>
          <w:szCs w:val="32"/>
        </w:rPr>
      </w:pPr>
      <w:r w:rsidRPr="002D68FD">
        <w:rPr>
          <w:rFonts w:ascii="仿宋_GB2312" w:eastAsia="仿宋_GB2312" w:hAnsi="仿宋" w:hint="eastAsia"/>
          <w:color w:val="000000" w:themeColor="text1"/>
          <w:sz w:val="32"/>
          <w:szCs w:val="32"/>
        </w:rPr>
        <w:t>国家能源局派出监管机构和地方政府电力管理部门根据职能依法履行省（区、市）电力中长期交易监管职责。</w:t>
      </w:r>
    </w:p>
    <w:p w:rsidR="00C60152" w:rsidRPr="0078040E" w:rsidRDefault="002D68FD">
      <w:pPr>
        <w:pStyle w:val="1"/>
        <w:spacing w:before="120" w:after="120" w:line="240" w:lineRule="auto"/>
        <w:jc w:val="center"/>
        <w:rPr>
          <w:rFonts w:ascii="仿宋_GB2312" w:eastAsia="仿宋_GB2312" w:hAnsi="仿宋"/>
          <w:color w:val="000000" w:themeColor="text1"/>
          <w:sz w:val="32"/>
          <w:szCs w:val="32"/>
        </w:rPr>
      </w:pPr>
      <w:bookmarkStart w:id="6" w:name="_Toc430684123"/>
      <w:r w:rsidRPr="002D68FD">
        <w:rPr>
          <w:rFonts w:ascii="仿宋_GB2312" w:eastAsia="仿宋_GB2312" w:hAnsi="仿宋"/>
          <w:color w:val="000000" w:themeColor="text1"/>
          <w:sz w:val="32"/>
          <w:szCs w:val="32"/>
        </w:rPr>
        <w:t>第二章 市场</w:t>
      </w:r>
      <w:bookmarkEnd w:id="6"/>
      <w:r w:rsidRPr="002D68FD">
        <w:rPr>
          <w:rFonts w:ascii="仿宋_GB2312" w:eastAsia="仿宋_GB2312" w:hAnsi="仿宋" w:hint="eastAsia"/>
          <w:color w:val="000000" w:themeColor="text1"/>
          <w:sz w:val="32"/>
          <w:szCs w:val="32"/>
        </w:rPr>
        <w:t>成员</w:t>
      </w:r>
    </w:p>
    <w:p w:rsidR="00000000" w:rsidRDefault="002D68FD">
      <w:pPr>
        <w:pStyle w:val="af1"/>
        <w:numPr>
          <w:ilvl w:val="0"/>
          <w:numId w:val="1"/>
        </w:numPr>
        <w:tabs>
          <w:tab w:val="left" w:pos="0"/>
        </w:tabs>
        <w:spacing w:line="560" w:lineRule="exact"/>
        <w:jc w:val="both"/>
        <w:rPr>
          <w:rFonts w:ascii="仿宋_GB2312" w:eastAsia="仿宋_GB2312" w:hAnsi="仿宋"/>
          <w:color w:val="000000" w:themeColor="text1"/>
          <w:sz w:val="32"/>
          <w:szCs w:val="32"/>
          <w:u w:val="single"/>
        </w:rPr>
      </w:pPr>
      <w:r w:rsidRPr="002D68FD">
        <w:rPr>
          <w:rFonts w:ascii="仿宋_GB2312" w:eastAsia="仿宋_GB2312" w:hAnsi="仿宋"/>
          <w:color w:val="000000" w:themeColor="text1"/>
          <w:sz w:val="32"/>
          <w:szCs w:val="32"/>
        </w:rPr>
        <w:t xml:space="preserve"> 市场成员包括各类发电企业、售电公司、电力用户、电网企业、电力交易机构、电力调度机构等。</w:t>
      </w:r>
      <w:r w:rsidR="0078040E">
        <w:rPr>
          <w:rFonts w:ascii="仿宋_GB2312" w:eastAsia="仿宋_GB2312" w:hAnsi="仿宋" w:hint="eastAsia"/>
          <w:sz w:val="32"/>
          <w:szCs w:val="32"/>
        </w:rPr>
        <w:t>根据市场发展情况，逐步引入储能等负荷资源。</w:t>
      </w:r>
    </w:p>
    <w:p w:rsidR="00C60152" w:rsidRPr="0078040E" w:rsidRDefault="002D68FD">
      <w:pPr>
        <w:pStyle w:val="2"/>
        <w:spacing w:before="120" w:after="120" w:line="240" w:lineRule="auto"/>
        <w:jc w:val="center"/>
        <w:rPr>
          <w:rFonts w:ascii="仿宋_GB2312" w:eastAsia="仿宋_GB2312" w:hAnsi="仿宋"/>
          <w:b w:val="0"/>
          <w:color w:val="000000" w:themeColor="text1"/>
        </w:rPr>
      </w:pPr>
      <w:r w:rsidRPr="002D68FD">
        <w:rPr>
          <w:rFonts w:ascii="仿宋_GB2312" w:eastAsia="仿宋_GB2312" w:hAnsi="仿宋" w:hint="eastAsia"/>
          <w:b w:val="0"/>
          <w:color w:val="000000" w:themeColor="text1"/>
        </w:rPr>
        <w:t>第一节</w:t>
      </w:r>
      <w:r w:rsidRPr="002D68FD">
        <w:rPr>
          <w:rFonts w:ascii="仿宋_GB2312" w:eastAsia="仿宋_GB2312" w:hAnsi="仿宋"/>
          <w:b w:val="0"/>
          <w:color w:val="000000" w:themeColor="text1"/>
        </w:rPr>
        <w:t xml:space="preserve"> </w:t>
      </w:r>
      <w:r w:rsidRPr="002D68FD">
        <w:rPr>
          <w:rFonts w:ascii="仿宋_GB2312" w:eastAsia="仿宋_GB2312" w:hAnsi="仿宋" w:hint="eastAsia"/>
          <w:b w:val="0"/>
          <w:color w:val="000000" w:themeColor="text1"/>
        </w:rPr>
        <w:t>权利与义务</w:t>
      </w:r>
    </w:p>
    <w:p w:rsidR="00C60152" w:rsidRPr="0078040E" w:rsidRDefault="002D68FD">
      <w:pPr>
        <w:pStyle w:val="af1"/>
        <w:numPr>
          <w:ilvl w:val="0"/>
          <w:numId w:val="1"/>
        </w:numPr>
        <w:tabs>
          <w:tab w:val="left" w:pos="0"/>
          <w:tab w:val="left" w:pos="1429"/>
        </w:tabs>
        <w:spacing w:line="560" w:lineRule="exact"/>
        <w:ind w:left="0" w:firstLineChars="200" w:firstLine="640"/>
        <w:jc w:val="both"/>
        <w:rPr>
          <w:rFonts w:ascii="仿宋_GB2312" w:eastAsia="仿宋_GB2312" w:hAnsi="仿宋"/>
          <w:color w:val="000000" w:themeColor="text1"/>
          <w:sz w:val="32"/>
        </w:rPr>
      </w:pPr>
      <w:bookmarkStart w:id="7" w:name="OLE_LINK14"/>
      <w:r w:rsidRPr="002D68FD">
        <w:rPr>
          <w:rFonts w:ascii="仿宋_GB2312" w:eastAsia="仿宋_GB2312" w:hAnsi="仿宋" w:hint="eastAsia"/>
          <w:color w:val="000000" w:themeColor="text1"/>
          <w:sz w:val="32"/>
        </w:rPr>
        <w:t xml:space="preserve"> 发电企业的权利和义务：</w:t>
      </w:r>
    </w:p>
    <w:p w:rsidR="00C60152" w:rsidRPr="0078040E" w:rsidRDefault="002D68FD">
      <w:pPr>
        <w:spacing w:line="560" w:lineRule="exact"/>
        <w:ind w:firstLineChars="200" w:firstLine="640"/>
        <w:rPr>
          <w:rFonts w:ascii="仿宋_GB2312" w:eastAsia="仿宋_GB2312" w:hAnsi="仿宋"/>
          <w:color w:val="000000" w:themeColor="text1"/>
          <w:sz w:val="32"/>
        </w:rPr>
      </w:pPr>
      <w:r w:rsidRPr="002D68FD">
        <w:rPr>
          <w:rFonts w:ascii="仿宋_GB2312" w:eastAsia="仿宋_GB2312" w:hAnsi="仿宋" w:hint="eastAsia"/>
          <w:color w:val="000000" w:themeColor="text1"/>
          <w:sz w:val="32"/>
        </w:rPr>
        <w:t>（一）</w:t>
      </w:r>
      <w:r w:rsidRPr="002D68FD">
        <w:rPr>
          <w:rFonts w:ascii="仿宋_GB2312" w:eastAsia="仿宋_GB2312" w:hAnsi="仿宋" w:hint="eastAsia"/>
          <w:color w:val="000000" w:themeColor="text1"/>
          <w:sz w:val="32"/>
          <w:szCs w:val="24"/>
        </w:rPr>
        <w:t>按规定参与电力交易，签订和履行各类交易合同，按时完成电费结算；</w:t>
      </w:r>
    </w:p>
    <w:p w:rsidR="00C60152" w:rsidRPr="0078040E" w:rsidRDefault="002D68FD">
      <w:pPr>
        <w:spacing w:line="560" w:lineRule="exact"/>
        <w:ind w:firstLineChars="200" w:firstLine="640"/>
        <w:rPr>
          <w:rFonts w:ascii="仿宋_GB2312" w:eastAsia="仿宋_GB2312" w:hAnsi="仿宋"/>
          <w:color w:val="000000" w:themeColor="text1"/>
          <w:sz w:val="32"/>
          <w:szCs w:val="24"/>
        </w:rPr>
      </w:pPr>
      <w:r w:rsidRPr="002D68FD">
        <w:rPr>
          <w:rFonts w:ascii="仿宋_GB2312" w:eastAsia="仿宋_GB2312" w:hAnsi="仿宋" w:hint="eastAsia"/>
          <w:color w:val="000000" w:themeColor="text1"/>
          <w:sz w:val="32"/>
        </w:rPr>
        <w:t>（二）</w:t>
      </w:r>
      <w:r w:rsidRPr="002D68FD">
        <w:rPr>
          <w:rFonts w:ascii="仿宋_GB2312" w:eastAsia="仿宋_GB2312" w:hAnsi="仿宋" w:hint="eastAsia"/>
          <w:color w:val="000000" w:themeColor="text1"/>
          <w:sz w:val="32"/>
          <w:szCs w:val="24"/>
        </w:rPr>
        <w:t>获得公平的输电服务和电网接入服务；</w:t>
      </w:r>
    </w:p>
    <w:p w:rsidR="00C60152" w:rsidRPr="0078040E" w:rsidRDefault="002D68FD">
      <w:pPr>
        <w:spacing w:line="560" w:lineRule="exact"/>
        <w:ind w:firstLineChars="200" w:firstLine="640"/>
        <w:rPr>
          <w:rFonts w:ascii="仿宋_GB2312" w:eastAsia="仿宋_GB2312" w:hAnsi="仿宋"/>
          <w:color w:val="000000" w:themeColor="text1"/>
          <w:sz w:val="32"/>
          <w:szCs w:val="24"/>
        </w:rPr>
      </w:pPr>
      <w:r w:rsidRPr="002D68FD">
        <w:rPr>
          <w:rFonts w:ascii="仿宋_GB2312" w:eastAsia="仿宋_GB2312" w:hAnsi="仿宋" w:hint="eastAsia"/>
          <w:color w:val="000000" w:themeColor="text1"/>
          <w:sz w:val="32"/>
          <w:szCs w:val="24"/>
        </w:rPr>
        <w:t>（三）签订并执行并网调度协议，服从电力调度机构的统一调度；</w:t>
      </w:r>
    </w:p>
    <w:p w:rsidR="00C60152" w:rsidRPr="0078040E" w:rsidRDefault="002D68FD">
      <w:pPr>
        <w:spacing w:line="560" w:lineRule="exact"/>
        <w:ind w:firstLineChars="200" w:firstLine="640"/>
        <w:rPr>
          <w:rFonts w:ascii="仿宋_GB2312" w:eastAsia="仿宋_GB2312" w:hAnsi="仿宋"/>
          <w:color w:val="000000" w:themeColor="text1"/>
          <w:sz w:val="32"/>
          <w:szCs w:val="24"/>
        </w:rPr>
      </w:pPr>
      <w:r w:rsidRPr="002D68FD">
        <w:rPr>
          <w:rFonts w:ascii="仿宋_GB2312" w:eastAsia="仿宋_GB2312" w:hAnsi="仿宋" w:hint="eastAsia"/>
          <w:color w:val="000000" w:themeColor="text1"/>
          <w:sz w:val="32"/>
          <w:szCs w:val="24"/>
        </w:rPr>
        <w:t>（四）按规定披露和提供信息，获得市场化交易和输配电服务等相关信息；</w:t>
      </w:r>
    </w:p>
    <w:p w:rsidR="00C60152" w:rsidRPr="0078040E" w:rsidRDefault="002D68FD">
      <w:pPr>
        <w:spacing w:line="560" w:lineRule="exact"/>
        <w:ind w:firstLineChars="200" w:firstLine="640"/>
        <w:rPr>
          <w:rFonts w:ascii="仿宋_GB2312" w:eastAsia="仿宋_GB2312" w:hAnsi="仿宋"/>
          <w:color w:val="000000" w:themeColor="text1"/>
          <w:sz w:val="32"/>
          <w:szCs w:val="24"/>
        </w:rPr>
      </w:pPr>
      <w:r w:rsidRPr="002D68FD">
        <w:rPr>
          <w:rFonts w:ascii="仿宋_GB2312" w:eastAsia="仿宋_GB2312" w:hAnsi="仿宋" w:hint="eastAsia"/>
          <w:color w:val="000000" w:themeColor="text1"/>
          <w:sz w:val="32"/>
          <w:szCs w:val="24"/>
        </w:rPr>
        <w:t>（五）具备满足参与市场化交易要求的技术支持手段；</w:t>
      </w:r>
    </w:p>
    <w:p w:rsidR="00C60152" w:rsidRPr="0078040E" w:rsidRDefault="002D68FD">
      <w:pPr>
        <w:spacing w:line="560" w:lineRule="exact"/>
        <w:ind w:firstLineChars="200" w:firstLine="640"/>
        <w:rPr>
          <w:rFonts w:ascii="仿宋_GB2312" w:eastAsia="仿宋_GB2312" w:hAnsi="仿宋"/>
          <w:color w:val="000000" w:themeColor="text1"/>
          <w:sz w:val="32"/>
          <w:szCs w:val="24"/>
        </w:rPr>
      </w:pPr>
      <w:r w:rsidRPr="002D68FD">
        <w:rPr>
          <w:rFonts w:ascii="仿宋_GB2312" w:eastAsia="仿宋_GB2312" w:hAnsi="仿宋" w:hint="eastAsia"/>
          <w:color w:val="000000" w:themeColor="text1"/>
          <w:sz w:val="32"/>
          <w:szCs w:val="24"/>
        </w:rPr>
        <w:lastRenderedPageBreak/>
        <w:t>（六）法律法规规定的其他权利和义务。</w:t>
      </w:r>
    </w:p>
    <w:p w:rsidR="00C60152" w:rsidRPr="0078040E" w:rsidRDefault="002D68FD">
      <w:pPr>
        <w:pStyle w:val="af1"/>
        <w:numPr>
          <w:ilvl w:val="0"/>
          <w:numId w:val="1"/>
        </w:numPr>
        <w:tabs>
          <w:tab w:val="left" w:pos="1429"/>
        </w:tabs>
        <w:spacing w:line="560" w:lineRule="exact"/>
        <w:jc w:val="both"/>
        <w:rPr>
          <w:rFonts w:ascii="仿宋_GB2312" w:eastAsia="仿宋_GB2312" w:hAnsi="仿宋"/>
          <w:color w:val="000000" w:themeColor="text1"/>
          <w:sz w:val="32"/>
        </w:rPr>
      </w:pPr>
      <w:bookmarkStart w:id="8" w:name="OLE_LINK17"/>
      <w:bookmarkStart w:id="9" w:name="OLE_LINK16"/>
      <w:r w:rsidRPr="002D68FD">
        <w:rPr>
          <w:rFonts w:ascii="仿宋_GB2312" w:eastAsia="仿宋_GB2312" w:hAnsi="仿宋" w:hint="eastAsia"/>
          <w:color w:val="000000" w:themeColor="text1"/>
          <w:sz w:val="32"/>
        </w:rPr>
        <w:t xml:space="preserve"> 电力用户</w:t>
      </w:r>
      <w:bookmarkEnd w:id="8"/>
      <w:r w:rsidRPr="002D68FD">
        <w:rPr>
          <w:rFonts w:ascii="仿宋_GB2312" w:eastAsia="仿宋_GB2312" w:hAnsi="仿宋" w:hint="eastAsia"/>
          <w:color w:val="000000" w:themeColor="text1"/>
          <w:sz w:val="32"/>
        </w:rPr>
        <w:t>的权利和义务：</w:t>
      </w:r>
    </w:p>
    <w:bookmarkEnd w:id="9"/>
    <w:p w:rsidR="00C60152" w:rsidRPr="0078040E" w:rsidRDefault="002D68FD">
      <w:pPr>
        <w:pStyle w:val="af1"/>
        <w:spacing w:line="560" w:lineRule="exact"/>
        <w:ind w:firstLineChars="200" w:firstLine="640"/>
        <w:jc w:val="both"/>
        <w:rPr>
          <w:rFonts w:ascii="仿宋_GB2312" w:eastAsia="仿宋_GB2312" w:hAnsi="仿宋"/>
          <w:color w:val="000000" w:themeColor="text1"/>
          <w:sz w:val="32"/>
        </w:rPr>
      </w:pPr>
      <w:r w:rsidRPr="002D68FD">
        <w:rPr>
          <w:rFonts w:ascii="仿宋_GB2312" w:eastAsia="仿宋_GB2312" w:hAnsi="仿宋" w:hint="eastAsia"/>
          <w:color w:val="000000" w:themeColor="text1"/>
          <w:sz w:val="32"/>
        </w:rPr>
        <w:t>（一）按规定参与电力市场化交易，签订和履行购售电合同、输配电服务合同，</w:t>
      </w:r>
      <w:r w:rsidRPr="002D68FD">
        <w:rPr>
          <w:rFonts w:ascii="仿宋_GB2312" w:eastAsia="仿宋_GB2312" w:hAnsi="仿宋" w:hint="eastAsia"/>
          <w:color w:val="000000" w:themeColor="text1"/>
          <w:sz w:val="32"/>
          <w:lang w:val="zh-CN"/>
        </w:rPr>
        <w:t>提供</w:t>
      </w:r>
      <w:r w:rsidRPr="002D68FD">
        <w:rPr>
          <w:rFonts w:ascii="仿宋_GB2312" w:eastAsia="仿宋_GB2312" w:hAnsi="仿宋" w:hint="eastAsia"/>
          <w:color w:val="000000" w:themeColor="text1"/>
          <w:sz w:val="32"/>
          <w:szCs w:val="22"/>
        </w:rPr>
        <w:t>市场化交易</w:t>
      </w:r>
      <w:r w:rsidRPr="002D68FD">
        <w:rPr>
          <w:rFonts w:ascii="仿宋_GB2312" w:eastAsia="仿宋_GB2312" w:hAnsi="仿宋" w:hint="eastAsia"/>
          <w:color w:val="000000" w:themeColor="text1"/>
          <w:sz w:val="32"/>
          <w:lang w:val="zh-CN"/>
        </w:rPr>
        <w:t>所必须的电力电量需求、典型负荷曲线及相关生产信息</w:t>
      </w:r>
      <w:r w:rsidRPr="002D68FD">
        <w:rPr>
          <w:rFonts w:ascii="仿宋_GB2312" w:eastAsia="仿宋_GB2312" w:hAnsi="仿宋" w:hint="eastAsia"/>
          <w:color w:val="000000" w:themeColor="text1"/>
          <w:sz w:val="32"/>
        </w:rPr>
        <w:t>；</w:t>
      </w:r>
    </w:p>
    <w:p w:rsidR="00C60152" w:rsidRPr="0078040E" w:rsidRDefault="002D68FD">
      <w:pPr>
        <w:pStyle w:val="af1"/>
        <w:spacing w:line="560" w:lineRule="exact"/>
        <w:ind w:firstLineChars="200" w:firstLine="640"/>
        <w:jc w:val="both"/>
        <w:rPr>
          <w:rFonts w:ascii="仿宋_GB2312" w:eastAsia="仿宋_GB2312" w:hAnsi="仿宋"/>
          <w:color w:val="000000" w:themeColor="text1"/>
          <w:sz w:val="32"/>
        </w:rPr>
      </w:pPr>
      <w:r w:rsidRPr="002D68FD">
        <w:rPr>
          <w:rFonts w:ascii="仿宋_GB2312" w:eastAsia="仿宋_GB2312" w:hAnsi="仿宋" w:hint="eastAsia"/>
          <w:color w:val="000000" w:themeColor="text1"/>
          <w:sz w:val="32"/>
        </w:rPr>
        <w:t>（二）获得公平的输配电服务和电网接入服务，按时支付购电费、输配电费、政府性基金及附加等；</w:t>
      </w:r>
    </w:p>
    <w:p w:rsidR="00C60152" w:rsidRPr="0078040E" w:rsidRDefault="002D68FD">
      <w:pPr>
        <w:pStyle w:val="af1"/>
        <w:spacing w:line="560" w:lineRule="exact"/>
        <w:ind w:firstLineChars="200" w:firstLine="640"/>
        <w:jc w:val="both"/>
        <w:rPr>
          <w:rFonts w:ascii="仿宋_GB2312" w:eastAsia="仿宋_GB2312" w:hAnsi="仿宋"/>
          <w:color w:val="000000" w:themeColor="text1"/>
          <w:sz w:val="32"/>
        </w:rPr>
      </w:pPr>
      <w:r w:rsidRPr="002D68FD">
        <w:rPr>
          <w:rFonts w:ascii="仿宋_GB2312" w:eastAsia="仿宋_GB2312" w:hAnsi="仿宋" w:hint="eastAsia"/>
          <w:color w:val="000000" w:themeColor="text1"/>
          <w:sz w:val="32"/>
        </w:rPr>
        <w:t>（三）依法依规披露和提供信息，获得市场化交易和输配电服务等相关信息；</w:t>
      </w:r>
    </w:p>
    <w:p w:rsidR="00C60152" w:rsidRPr="0078040E" w:rsidRDefault="002D68FD">
      <w:pPr>
        <w:pStyle w:val="af1"/>
        <w:spacing w:line="560" w:lineRule="exact"/>
        <w:ind w:firstLineChars="200" w:firstLine="640"/>
        <w:jc w:val="both"/>
        <w:rPr>
          <w:rFonts w:ascii="仿宋_GB2312" w:eastAsia="仿宋_GB2312" w:hAnsi="仿宋"/>
          <w:color w:val="000000" w:themeColor="text1"/>
          <w:sz w:val="32"/>
        </w:rPr>
      </w:pPr>
      <w:r w:rsidRPr="002D68FD">
        <w:rPr>
          <w:rFonts w:ascii="仿宋_GB2312" w:eastAsia="仿宋_GB2312" w:hAnsi="仿宋" w:hint="eastAsia"/>
          <w:color w:val="000000" w:themeColor="text1"/>
          <w:sz w:val="32"/>
        </w:rPr>
        <w:t>（四）服从电力调度机构的统一调度，在系统特殊运行状况下（如事故、严重供不应求等）按电力调度机构要求安排用电；</w:t>
      </w:r>
    </w:p>
    <w:p w:rsidR="00C60152" w:rsidRPr="0078040E" w:rsidRDefault="002D68FD">
      <w:pPr>
        <w:pStyle w:val="af1"/>
        <w:spacing w:line="560" w:lineRule="exact"/>
        <w:ind w:firstLineChars="200" w:firstLine="640"/>
        <w:jc w:val="both"/>
        <w:rPr>
          <w:rFonts w:ascii="仿宋_GB2312" w:eastAsia="仿宋_GB2312" w:hAnsi="仿宋"/>
          <w:color w:val="000000" w:themeColor="text1"/>
          <w:sz w:val="32"/>
          <w:lang w:val="zh-CN"/>
        </w:rPr>
      </w:pPr>
      <w:r w:rsidRPr="002D68FD">
        <w:rPr>
          <w:rFonts w:ascii="仿宋_GB2312" w:eastAsia="仿宋_GB2312" w:hAnsi="仿宋" w:hint="eastAsia"/>
          <w:color w:val="000000" w:themeColor="text1"/>
          <w:sz w:val="32"/>
        </w:rPr>
        <w:t>（五）遵守政府电力管理部门有关电力需求侧管理规定，</w:t>
      </w:r>
      <w:r w:rsidRPr="002D68FD">
        <w:rPr>
          <w:rFonts w:ascii="仿宋_GB2312" w:eastAsia="仿宋_GB2312" w:hAnsi="仿宋" w:hint="eastAsia"/>
          <w:color w:val="000000" w:themeColor="text1"/>
          <w:sz w:val="32"/>
          <w:lang w:val="zh-CN"/>
        </w:rPr>
        <w:t>执行有序用电管理，配合开展错避峰；</w:t>
      </w:r>
    </w:p>
    <w:p w:rsidR="00C60152" w:rsidRPr="0078040E" w:rsidRDefault="002D68FD">
      <w:pPr>
        <w:pStyle w:val="af"/>
        <w:ind w:firstLine="640"/>
        <w:rPr>
          <w:rFonts w:ascii="仿宋_GB2312" w:eastAsia="仿宋_GB2312" w:hAnsi="仿宋"/>
          <w:color w:val="000000" w:themeColor="text1"/>
          <w:sz w:val="32"/>
        </w:rPr>
      </w:pPr>
      <w:r w:rsidRPr="002D68FD">
        <w:rPr>
          <w:rFonts w:ascii="仿宋_GB2312" w:eastAsia="仿宋_GB2312" w:hAnsi="仿宋" w:hint="eastAsia"/>
          <w:color w:val="000000" w:themeColor="text1"/>
          <w:sz w:val="32"/>
        </w:rPr>
        <w:t>（六）依法依规履行清洁能源消纳责任；</w:t>
      </w:r>
    </w:p>
    <w:p w:rsidR="00C60152" w:rsidRPr="0078040E" w:rsidRDefault="002D68FD">
      <w:pPr>
        <w:spacing w:line="560" w:lineRule="exact"/>
        <w:ind w:firstLineChars="200" w:firstLine="640"/>
        <w:rPr>
          <w:rFonts w:ascii="仿宋_GB2312" w:eastAsia="仿宋_GB2312" w:hAnsi="仿宋"/>
          <w:color w:val="000000" w:themeColor="text1"/>
          <w:sz w:val="32"/>
        </w:rPr>
      </w:pPr>
      <w:r w:rsidRPr="002D68FD">
        <w:rPr>
          <w:rFonts w:ascii="仿宋_GB2312" w:eastAsia="仿宋_GB2312" w:hAnsi="仿宋" w:hint="eastAsia"/>
          <w:color w:val="000000" w:themeColor="text1"/>
          <w:sz w:val="32"/>
        </w:rPr>
        <w:t>（七）具备满足参与市场化交易要求的技术支持手段；</w:t>
      </w:r>
    </w:p>
    <w:p w:rsidR="00C60152" w:rsidRPr="0078040E" w:rsidRDefault="002D68FD">
      <w:pPr>
        <w:pStyle w:val="af1"/>
        <w:spacing w:line="560" w:lineRule="exact"/>
        <w:ind w:firstLineChars="200" w:firstLine="640"/>
        <w:jc w:val="both"/>
        <w:rPr>
          <w:rFonts w:ascii="仿宋_GB2312" w:eastAsia="仿宋_GB2312" w:hAnsi="仿宋"/>
          <w:color w:val="000000" w:themeColor="text1"/>
          <w:sz w:val="32"/>
        </w:rPr>
      </w:pPr>
      <w:r w:rsidRPr="002D68FD">
        <w:rPr>
          <w:rFonts w:ascii="仿宋_GB2312" w:eastAsia="仿宋_GB2312" w:hAnsi="仿宋" w:hint="eastAsia"/>
          <w:color w:val="000000" w:themeColor="text1"/>
          <w:sz w:val="32"/>
        </w:rPr>
        <w:t>（八）法律法规规定的其他权利和义务。</w:t>
      </w:r>
    </w:p>
    <w:p w:rsidR="00C60152" w:rsidRPr="0078040E" w:rsidRDefault="002D68FD">
      <w:pPr>
        <w:pStyle w:val="af1"/>
        <w:numPr>
          <w:ilvl w:val="0"/>
          <w:numId w:val="1"/>
        </w:numPr>
        <w:spacing w:line="560" w:lineRule="exact"/>
        <w:jc w:val="both"/>
        <w:rPr>
          <w:rFonts w:ascii="仿宋_GB2312" w:eastAsia="仿宋_GB2312" w:hAnsi="仿宋"/>
          <w:color w:val="000000" w:themeColor="text1"/>
          <w:sz w:val="32"/>
        </w:rPr>
      </w:pPr>
      <w:r w:rsidRPr="002D68FD">
        <w:rPr>
          <w:rFonts w:ascii="仿宋_GB2312" w:eastAsia="仿宋_GB2312" w:hAnsi="仿宋" w:hint="eastAsia"/>
          <w:color w:val="000000" w:themeColor="text1"/>
          <w:sz w:val="32"/>
        </w:rPr>
        <w:t xml:space="preserve"> 售电公司的权利和义务：</w:t>
      </w:r>
    </w:p>
    <w:p w:rsidR="00C60152" w:rsidRPr="0078040E" w:rsidRDefault="002D68FD">
      <w:pPr>
        <w:pStyle w:val="af1"/>
        <w:spacing w:line="560" w:lineRule="exact"/>
        <w:ind w:firstLineChars="200" w:firstLine="640"/>
        <w:jc w:val="both"/>
        <w:rPr>
          <w:rFonts w:ascii="仿宋_GB2312" w:eastAsia="仿宋_GB2312" w:hAnsi="仿宋"/>
          <w:color w:val="000000" w:themeColor="text1"/>
          <w:sz w:val="32"/>
        </w:rPr>
      </w:pPr>
      <w:r w:rsidRPr="002D68FD">
        <w:rPr>
          <w:rFonts w:ascii="仿宋_GB2312" w:eastAsia="仿宋_GB2312" w:hAnsi="仿宋" w:hint="eastAsia"/>
          <w:color w:val="000000" w:themeColor="text1"/>
          <w:sz w:val="32"/>
        </w:rPr>
        <w:t>（一）按规定参与电力市场化交易，签订和履行市场化交易合同，按时完成电费结算；</w:t>
      </w:r>
    </w:p>
    <w:p w:rsidR="00C60152" w:rsidRPr="0078040E" w:rsidRDefault="002D68FD" w:rsidP="00256E31">
      <w:pPr>
        <w:pStyle w:val="af1"/>
        <w:spacing w:line="560" w:lineRule="exact"/>
        <w:ind w:firstLineChars="200" w:firstLine="640"/>
        <w:jc w:val="both"/>
        <w:rPr>
          <w:rFonts w:ascii="仿宋_GB2312" w:eastAsia="仿宋_GB2312" w:hAnsi="仿宋"/>
          <w:color w:val="000000" w:themeColor="text1"/>
          <w:sz w:val="32"/>
        </w:rPr>
      </w:pPr>
      <w:r w:rsidRPr="002D68FD">
        <w:rPr>
          <w:rFonts w:ascii="仿宋_GB2312" w:eastAsia="仿宋_GB2312" w:hAnsi="仿宋" w:hint="eastAsia"/>
          <w:color w:val="000000" w:themeColor="text1"/>
          <w:sz w:val="32"/>
        </w:rPr>
        <w:t>（二）按规定披露和提供信息，在政府指定网站上公示公司资产、经营状况等情况和信用承诺，依法对公司重大事项进行公告，并定期公布公司年报；</w:t>
      </w:r>
    </w:p>
    <w:p w:rsidR="00C60152" w:rsidRPr="0078040E" w:rsidRDefault="002D68FD">
      <w:pPr>
        <w:pStyle w:val="af1"/>
        <w:spacing w:line="560" w:lineRule="exact"/>
        <w:ind w:firstLineChars="200" w:firstLine="640"/>
        <w:jc w:val="both"/>
        <w:rPr>
          <w:rFonts w:ascii="仿宋_GB2312" w:eastAsia="仿宋_GB2312" w:hAnsi="仿宋"/>
          <w:color w:val="000000" w:themeColor="text1"/>
          <w:sz w:val="32"/>
        </w:rPr>
      </w:pPr>
      <w:r w:rsidRPr="002D68FD">
        <w:rPr>
          <w:rFonts w:ascii="仿宋_GB2312" w:eastAsia="仿宋_GB2312" w:hAnsi="仿宋" w:hint="eastAsia"/>
          <w:color w:val="000000" w:themeColor="text1"/>
          <w:sz w:val="32"/>
        </w:rPr>
        <w:t>（三）按规定向电力交易机构、电力调度机构提供签约</w:t>
      </w:r>
      <w:r w:rsidRPr="002D68FD">
        <w:rPr>
          <w:rFonts w:ascii="仿宋_GB2312" w:eastAsia="仿宋_GB2312" w:hAnsi="仿宋" w:hint="eastAsia"/>
          <w:color w:val="000000" w:themeColor="text1"/>
          <w:sz w:val="32"/>
        </w:rPr>
        <w:lastRenderedPageBreak/>
        <w:t>零售用户的交易电力电量需求、典型负荷曲线及其他生产信息，获得市场化交易、输配电服务和签约市场主体的基础信息等相关信息，承担用户信息保密义务；</w:t>
      </w:r>
    </w:p>
    <w:p w:rsidR="00180CBF" w:rsidRPr="0078040E" w:rsidRDefault="002D68FD" w:rsidP="00180CBF">
      <w:pPr>
        <w:pStyle w:val="af1"/>
        <w:spacing w:line="560" w:lineRule="exact"/>
        <w:ind w:firstLineChars="200" w:firstLine="640"/>
        <w:jc w:val="both"/>
        <w:rPr>
          <w:rFonts w:ascii="仿宋_GB2312" w:eastAsia="仿宋_GB2312" w:hAnsi="仿宋"/>
          <w:color w:val="000000" w:themeColor="text1"/>
          <w:sz w:val="32"/>
        </w:rPr>
      </w:pPr>
      <w:r w:rsidRPr="002D68FD">
        <w:rPr>
          <w:rFonts w:ascii="仿宋_GB2312" w:eastAsia="仿宋_GB2312" w:hAnsi="仿宋" w:hint="eastAsia"/>
          <w:color w:val="000000" w:themeColor="text1"/>
          <w:sz w:val="32"/>
        </w:rPr>
        <w:t>（四）依法依规履行清洁能源消纳责任；</w:t>
      </w:r>
    </w:p>
    <w:p w:rsidR="00C60152" w:rsidRPr="0078040E" w:rsidRDefault="002D68FD" w:rsidP="00180CBF">
      <w:pPr>
        <w:pStyle w:val="af1"/>
        <w:spacing w:line="560" w:lineRule="exact"/>
        <w:ind w:firstLineChars="200" w:firstLine="640"/>
        <w:jc w:val="both"/>
        <w:rPr>
          <w:rFonts w:ascii="仿宋_GB2312" w:eastAsia="仿宋_GB2312" w:hAnsi="仿宋"/>
          <w:color w:val="000000" w:themeColor="text1"/>
          <w:sz w:val="32"/>
        </w:rPr>
      </w:pPr>
      <w:r w:rsidRPr="002D68FD">
        <w:rPr>
          <w:rFonts w:ascii="仿宋_GB2312" w:eastAsia="仿宋_GB2312" w:hAnsi="仿宋" w:hint="eastAsia"/>
          <w:color w:val="000000" w:themeColor="text1"/>
          <w:sz w:val="32"/>
        </w:rPr>
        <w:t>（五）具备满足参与市场化交易要求的技术支持手段；</w:t>
      </w:r>
    </w:p>
    <w:p w:rsidR="00EC011E" w:rsidRPr="0078040E" w:rsidRDefault="002D68FD" w:rsidP="00180CBF">
      <w:pPr>
        <w:pStyle w:val="af1"/>
        <w:spacing w:line="560" w:lineRule="exact"/>
        <w:ind w:firstLineChars="200" w:firstLine="640"/>
        <w:jc w:val="both"/>
        <w:rPr>
          <w:rFonts w:ascii="仿宋_GB2312" w:eastAsia="仿宋_GB2312" w:hAnsi="仿宋"/>
          <w:color w:val="000000" w:themeColor="text1"/>
          <w:sz w:val="32"/>
        </w:rPr>
      </w:pPr>
      <w:r w:rsidRPr="002D68FD">
        <w:rPr>
          <w:rFonts w:ascii="仿宋_GB2312" w:eastAsia="仿宋_GB2312" w:hAnsi="仿宋" w:hint="eastAsia"/>
          <w:color w:val="000000" w:themeColor="text1"/>
          <w:sz w:val="32"/>
        </w:rPr>
        <w:t>（六）拥有配电网运营权的售电公司承担配电区域内电费收取和结算业务；</w:t>
      </w:r>
    </w:p>
    <w:p w:rsidR="00C60152" w:rsidRPr="0078040E" w:rsidRDefault="002D68FD" w:rsidP="00180CBF">
      <w:pPr>
        <w:pStyle w:val="af1"/>
        <w:spacing w:line="560" w:lineRule="exact"/>
        <w:ind w:firstLineChars="200" w:firstLine="640"/>
        <w:jc w:val="both"/>
        <w:rPr>
          <w:rFonts w:ascii="仿宋_GB2312" w:eastAsia="仿宋_GB2312" w:hAnsi="仿宋"/>
          <w:color w:val="000000" w:themeColor="text1"/>
          <w:sz w:val="32"/>
        </w:rPr>
      </w:pPr>
      <w:r w:rsidRPr="002D68FD">
        <w:rPr>
          <w:rFonts w:ascii="仿宋_GB2312" w:eastAsia="仿宋_GB2312" w:hAnsi="仿宋" w:hint="eastAsia"/>
          <w:color w:val="000000" w:themeColor="text1"/>
          <w:sz w:val="32"/>
        </w:rPr>
        <w:t>（七）法律法规规定的其他权利和义务。</w:t>
      </w:r>
    </w:p>
    <w:p w:rsidR="00C60152" w:rsidRPr="0078040E" w:rsidRDefault="002D68FD" w:rsidP="00D266C8">
      <w:pPr>
        <w:pStyle w:val="af1"/>
        <w:numPr>
          <w:ilvl w:val="0"/>
          <w:numId w:val="1"/>
        </w:numPr>
        <w:spacing w:line="560" w:lineRule="exact"/>
        <w:jc w:val="both"/>
        <w:rPr>
          <w:rFonts w:ascii="仿宋_GB2312" w:eastAsia="仿宋_GB2312" w:hAnsi="仿宋"/>
          <w:color w:val="000000" w:themeColor="text1"/>
          <w:sz w:val="32"/>
        </w:rPr>
      </w:pPr>
      <w:r w:rsidRPr="002D68FD">
        <w:rPr>
          <w:rFonts w:ascii="仿宋_GB2312" w:eastAsia="仿宋_GB2312" w:hAnsi="仿宋" w:hint="eastAsia"/>
          <w:color w:val="000000" w:themeColor="text1"/>
          <w:sz w:val="32"/>
        </w:rPr>
        <w:t xml:space="preserve"> 电网企业的权利和义务：</w:t>
      </w:r>
    </w:p>
    <w:p w:rsidR="00C60152" w:rsidRPr="0078040E" w:rsidRDefault="002D68FD">
      <w:pPr>
        <w:pStyle w:val="af1"/>
        <w:spacing w:line="560" w:lineRule="exact"/>
        <w:ind w:firstLineChars="200" w:firstLine="640"/>
        <w:jc w:val="both"/>
        <w:rPr>
          <w:rFonts w:ascii="仿宋_GB2312" w:eastAsia="仿宋_GB2312" w:hAnsi="仿宋"/>
          <w:color w:val="000000" w:themeColor="text1"/>
          <w:sz w:val="32"/>
        </w:rPr>
      </w:pPr>
      <w:r w:rsidRPr="002D68FD">
        <w:rPr>
          <w:rFonts w:ascii="仿宋_GB2312" w:eastAsia="仿宋_GB2312" w:hAnsi="仿宋" w:hint="eastAsia"/>
          <w:color w:val="000000" w:themeColor="text1"/>
          <w:sz w:val="32"/>
        </w:rPr>
        <w:t>（一）保障电网及输配电设施的安全稳定运行；</w:t>
      </w:r>
    </w:p>
    <w:p w:rsidR="00C60152" w:rsidRPr="0078040E" w:rsidRDefault="002D68FD" w:rsidP="00AC4917">
      <w:pPr>
        <w:pStyle w:val="af1"/>
        <w:spacing w:line="560" w:lineRule="exact"/>
        <w:ind w:firstLineChars="200" w:firstLine="640"/>
        <w:jc w:val="both"/>
        <w:rPr>
          <w:rFonts w:ascii="仿宋_GB2312" w:eastAsia="仿宋_GB2312" w:hAnsi="仿宋"/>
          <w:color w:val="000000" w:themeColor="text1"/>
          <w:sz w:val="32"/>
        </w:rPr>
      </w:pPr>
      <w:r w:rsidRPr="002D68FD">
        <w:rPr>
          <w:rFonts w:ascii="仿宋_GB2312" w:eastAsia="仿宋_GB2312" w:hAnsi="仿宋" w:hint="eastAsia"/>
          <w:color w:val="000000" w:themeColor="text1"/>
          <w:sz w:val="32"/>
        </w:rPr>
        <w:t>（二）为市场主体提供公平的输配电服务和电网接入服务，提供报装、计量、抄表、收费等各类供电服务；</w:t>
      </w:r>
    </w:p>
    <w:p w:rsidR="00C60152" w:rsidRPr="0078040E" w:rsidRDefault="002D68FD">
      <w:pPr>
        <w:pStyle w:val="af1"/>
        <w:spacing w:line="560" w:lineRule="exact"/>
        <w:ind w:firstLineChars="200" w:firstLine="640"/>
        <w:jc w:val="both"/>
        <w:rPr>
          <w:rFonts w:ascii="仿宋_GB2312" w:eastAsia="仿宋_GB2312" w:hAnsi="仿宋"/>
          <w:color w:val="000000" w:themeColor="text1"/>
          <w:sz w:val="32"/>
        </w:rPr>
      </w:pPr>
      <w:r w:rsidRPr="002D68FD">
        <w:rPr>
          <w:rFonts w:ascii="仿宋_GB2312" w:eastAsia="仿宋_GB2312" w:hAnsi="仿宋" w:hint="eastAsia"/>
          <w:color w:val="000000" w:themeColor="text1"/>
          <w:sz w:val="32"/>
        </w:rPr>
        <w:t>（三）建设、运行、维护和管理电网配套技术支持系统，服从电力调度机构的统一调度；</w:t>
      </w:r>
    </w:p>
    <w:p w:rsidR="00C60152" w:rsidRPr="0078040E" w:rsidRDefault="002D68FD">
      <w:pPr>
        <w:pStyle w:val="af1"/>
        <w:spacing w:line="560" w:lineRule="exact"/>
        <w:ind w:firstLineChars="200" w:firstLine="640"/>
        <w:jc w:val="both"/>
        <w:rPr>
          <w:rFonts w:ascii="仿宋_GB2312" w:eastAsia="仿宋_GB2312" w:hAnsi="仿宋"/>
          <w:color w:val="000000" w:themeColor="text1"/>
          <w:sz w:val="32"/>
        </w:rPr>
      </w:pPr>
      <w:r w:rsidRPr="002D68FD">
        <w:rPr>
          <w:rFonts w:ascii="仿宋_GB2312" w:eastAsia="仿宋_GB2312" w:hAnsi="仿宋" w:hint="eastAsia"/>
          <w:color w:val="000000" w:themeColor="text1"/>
          <w:sz w:val="32"/>
        </w:rPr>
        <w:t>（四）按规定披露和提供信息，向电力交易机构提供支撑市场化交易和市场服务所需的相关数据，按照国家网络安全有关规定实现与电力交易机构的数据交互；</w:t>
      </w:r>
    </w:p>
    <w:p w:rsidR="00C60152" w:rsidRPr="0078040E" w:rsidRDefault="002D68FD">
      <w:pPr>
        <w:pStyle w:val="af1"/>
        <w:spacing w:line="560" w:lineRule="exact"/>
        <w:ind w:firstLineChars="200" w:firstLine="640"/>
        <w:jc w:val="both"/>
        <w:rPr>
          <w:rFonts w:ascii="仿宋_GB2312" w:eastAsia="仿宋_GB2312" w:hAnsi="仿宋"/>
          <w:dstrike/>
          <w:color w:val="000000" w:themeColor="text1"/>
          <w:sz w:val="32"/>
        </w:rPr>
      </w:pPr>
      <w:r w:rsidRPr="002D68FD">
        <w:rPr>
          <w:rFonts w:ascii="仿宋_GB2312" w:eastAsia="仿宋_GB2312" w:hAnsi="仿宋" w:hint="eastAsia"/>
          <w:color w:val="000000" w:themeColor="text1"/>
          <w:sz w:val="32"/>
        </w:rPr>
        <w:t>（五）按规定收取输配电费，代收代付电费和政府性基金及附加等，按时完成电费结算；</w:t>
      </w:r>
    </w:p>
    <w:p w:rsidR="00C60152" w:rsidRPr="0078040E" w:rsidRDefault="002D68FD">
      <w:pPr>
        <w:pStyle w:val="af"/>
        <w:spacing w:line="560" w:lineRule="exact"/>
        <w:ind w:firstLine="640"/>
        <w:rPr>
          <w:rFonts w:ascii="仿宋_GB2312" w:eastAsia="仿宋_GB2312" w:hAnsi="仿宋"/>
          <w:color w:val="000000" w:themeColor="text1"/>
          <w:sz w:val="32"/>
        </w:rPr>
      </w:pPr>
      <w:r w:rsidRPr="002D68FD">
        <w:rPr>
          <w:rFonts w:ascii="仿宋_GB2312" w:eastAsia="仿宋_GB2312" w:hAnsi="仿宋" w:hint="eastAsia"/>
          <w:color w:val="000000" w:themeColor="text1"/>
          <w:sz w:val="32"/>
        </w:rPr>
        <w:t>（六）按政府定价或政府相关规定向优先购电用户以及其他不参与市场化交易的电力用户（以下统称“非市场用户”）提供供电服务，签订供用电合同；</w:t>
      </w:r>
    </w:p>
    <w:p w:rsidR="00C60152" w:rsidRPr="0078040E" w:rsidRDefault="002D68FD">
      <w:pPr>
        <w:pStyle w:val="af"/>
        <w:spacing w:line="560" w:lineRule="exact"/>
        <w:ind w:firstLine="640"/>
        <w:rPr>
          <w:rFonts w:ascii="仿宋_GB2312" w:eastAsia="仿宋_GB2312" w:hAnsi="仿宋"/>
          <w:color w:val="000000" w:themeColor="text1"/>
          <w:sz w:val="32"/>
        </w:rPr>
      </w:pPr>
      <w:r w:rsidRPr="002D68FD">
        <w:rPr>
          <w:rFonts w:ascii="仿宋_GB2312" w:eastAsia="仿宋_GB2312" w:hAnsi="仿宋" w:hint="eastAsia"/>
          <w:color w:val="000000" w:themeColor="text1"/>
          <w:sz w:val="32"/>
        </w:rPr>
        <w:t>（七）预测非市场用户的电力、电量需求等；</w:t>
      </w:r>
    </w:p>
    <w:p w:rsidR="00C60152" w:rsidRPr="0078040E" w:rsidRDefault="002D68FD">
      <w:pPr>
        <w:pStyle w:val="af"/>
        <w:ind w:firstLine="640"/>
        <w:rPr>
          <w:rFonts w:ascii="仿宋_GB2312" w:eastAsia="仿宋_GB2312" w:hAnsi="仿宋"/>
          <w:color w:val="000000" w:themeColor="text1"/>
          <w:sz w:val="32"/>
        </w:rPr>
      </w:pPr>
      <w:r w:rsidRPr="002D68FD">
        <w:rPr>
          <w:rFonts w:ascii="仿宋_GB2312" w:eastAsia="仿宋_GB2312" w:hAnsi="仿宋" w:hint="eastAsia"/>
          <w:color w:val="000000" w:themeColor="text1"/>
          <w:sz w:val="32"/>
        </w:rPr>
        <w:t>（八）依法依规履行清洁能源消纳责任；</w:t>
      </w:r>
    </w:p>
    <w:p w:rsidR="00C60152" w:rsidRPr="0078040E" w:rsidRDefault="002D68FD">
      <w:pPr>
        <w:pStyle w:val="af1"/>
        <w:spacing w:line="560" w:lineRule="exact"/>
        <w:ind w:firstLineChars="200" w:firstLine="640"/>
        <w:jc w:val="both"/>
        <w:rPr>
          <w:rFonts w:ascii="仿宋_GB2312" w:eastAsia="仿宋_GB2312" w:hAnsi="仿宋"/>
          <w:color w:val="000000" w:themeColor="text1"/>
          <w:sz w:val="32"/>
        </w:rPr>
      </w:pPr>
      <w:r w:rsidRPr="002D68FD">
        <w:rPr>
          <w:rFonts w:ascii="仿宋_GB2312" w:eastAsia="仿宋_GB2312" w:hAnsi="仿宋" w:hint="eastAsia"/>
          <w:color w:val="000000" w:themeColor="text1"/>
          <w:sz w:val="32"/>
        </w:rPr>
        <w:lastRenderedPageBreak/>
        <w:t>（九）法律法规规定的其他权利和义务。</w:t>
      </w:r>
    </w:p>
    <w:p w:rsidR="00C60152" w:rsidRPr="0078040E" w:rsidRDefault="002D68FD">
      <w:pPr>
        <w:pStyle w:val="af1"/>
        <w:numPr>
          <w:ilvl w:val="0"/>
          <w:numId w:val="1"/>
        </w:numPr>
        <w:spacing w:line="560" w:lineRule="exact"/>
        <w:jc w:val="both"/>
        <w:rPr>
          <w:rFonts w:ascii="仿宋_GB2312" w:eastAsia="仿宋_GB2312" w:hAnsi="仿宋"/>
          <w:color w:val="000000" w:themeColor="text1"/>
          <w:sz w:val="32"/>
        </w:rPr>
      </w:pPr>
      <w:bookmarkStart w:id="10" w:name="OLE_LINK18"/>
      <w:r w:rsidRPr="002D68FD">
        <w:rPr>
          <w:rFonts w:ascii="仿宋_GB2312" w:eastAsia="仿宋_GB2312" w:hAnsi="仿宋" w:hint="eastAsia"/>
          <w:color w:val="000000" w:themeColor="text1"/>
          <w:sz w:val="32"/>
        </w:rPr>
        <w:t xml:space="preserve"> 电力交易机构的权利和义务：</w:t>
      </w:r>
    </w:p>
    <w:bookmarkEnd w:id="10"/>
    <w:p w:rsidR="00C60152" w:rsidRPr="0078040E" w:rsidRDefault="002D68FD" w:rsidP="00D266C8">
      <w:pPr>
        <w:pStyle w:val="af"/>
        <w:ind w:firstLine="640"/>
        <w:rPr>
          <w:rFonts w:ascii="仿宋_GB2312" w:eastAsia="仿宋_GB2312" w:hAnsi="仿宋"/>
          <w:color w:val="000000" w:themeColor="text1"/>
          <w:sz w:val="32"/>
        </w:rPr>
      </w:pPr>
      <w:r w:rsidRPr="002D68FD">
        <w:rPr>
          <w:rFonts w:ascii="仿宋_GB2312" w:eastAsia="仿宋_GB2312" w:hAnsi="仿宋" w:hint="eastAsia"/>
          <w:color w:val="000000" w:themeColor="text1"/>
          <w:sz w:val="32"/>
        </w:rPr>
        <w:t>（一）参与拟定相应电力交易规则；</w:t>
      </w:r>
    </w:p>
    <w:p w:rsidR="00C60152" w:rsidRPr="0078040E" w:rsidRDefault="002D68FD" w:rsidP="00D266C8">
      <w:pPr>
        <w:pStyle w:val="af"/>
        <w:ind w:firstLine="640"/>
        <w:rPr>
          <w:rFonts w:ascii="仿宋_GB2312" w:eastAsia="仿宋_GB2312" w:hAnsi="仿宋"/>
          <w:color w:val="000000" w:themeColor="text1"/>
          <w:sz w:val="32"/>
        </w:rPr>
      </w:pPr>
      <w:r w:rsidRPr="002D68FD">
        <w:rPr>
          <w:rFonts w:ascii="仿宋_GB2312" w:eastAsia="仿宋_GB2312" w:hAnsi="仿宋" w:hint="eastAsia"/>
          <w:color w:val="000000" w:themeColor="text1"/>
          <w:sz w:val="32"/>
        </w:rPr>
        <w:t>（二）提供各类市场主体的注册服务；</w:t>
      </w:r>
    </w:p>
    <w:p w:rsidR="00C60152" w:rsidRPr="0078040E" w:rsidRDefault="002D68FD" w:rsidP="00D266C8">
      <w:pPr>
        <w:pStyle w:val="af"/>
        <w:ind w:firstLine="640"/>
        <w:rPr>
          <w:rFonts w:ascii="仿宋_GB2312" w:eastAsia="仿宋_GB2312" w:hAnsi="仿宋"/>
          <w:color w:val="000000" w:themeColor="text1"/>
          <w:sz w:val="32"/>
        </w:rPr>
      </w:pPr>
      <w:r w:rsidRPr="002D68FD">
        <w:rPr>
          <w:rFonts w:ascii="仿宋_GB2312" w:eastAsia="仿宋_GB2312" w:hAnsi="仿宋" w:hint="eastAsia"/>
          <w:color w:val="000000" w:themeColor="text1"/>
          <w:sz w:val="32"/>
        </w:rPr>
        <w:t>（三）按规则组织电力市场交易，并负责交易合同的汇总管理；</w:t>
      </w:r>
    </w:p>
    <w:p w:rsidR="00C60152" w:rsidRPr="0078040E" w:rsidRDefault="002D68FD" w:rsidP="00D266C8">
      <w:pPr>
        <w:pStyle w:val="af"/>
        <w:ind w:firstLine="640"/>
        <w:rPr>
          <w:rFonts w:ascii="仿宋_GB2312" w:eastAsia="仿宋_GB2312" w:hAnsi="仿宋"/>
          <w:color w:val="000000" w:themeColor="text1"/>
          <w:sz w:val="32"/>
        </w:rPr>
      </w:pPr>
      <w:r w:rsidRPr="002D68FD">
        <w:rPr>
          <w:rFonts w:ascii="仿宋_GB2312" w:eastAsia="仿宋_GB2312" w:hAnsi="仿宋" w:hint="eastAsia"/>
          <w:color w:val="000000" w:themeColor="text1"/>
          <w:sz w:val="32"/>
        </w:rPr>
        <w:t>（四）提供电力交易结算依据及相关服务，按规定收取交易服务费；</w:t>
      </w:r>
    </w:p>
    <w:p w:rsidR="00C60152" w:rsidRPr="0078040E" w:rsidRDefault="002D68FD" w:rsidP="00D266C8">
      <w:pPr>
        <w:pStyle w:val="af"/>
        <w:ind w:firstLine="640"/>
        <w:rPr>
          <w:rFonts w:ascii="仿宋_GB2312" w:eastAsia="仿宋_GB2312" w:hAnsi="仿宋"/>
          <w:color w:val="000000" w:themeColor="text1"/>
          <w:sz w:val="32"/>
        </w:rPr>
      </w:pPr>
      <w:r w:rsidRPr="002D68FD">
        <w:rPr>
          <w:rFonts w:ascii="仿宋_GB2312" w:eastAsia="仿宋_GB2312" w:hAnsi="仿宋" w:hint="eastAsia"/>
          <w:color w:val="000000" w:themeColor="text1"/>
          <w:sz w:val="32"/>
        </w:rPr>
        <w:t>（五）建设、运营和维护电力市场化交易技术支持系统（以下简称“电力交易平台”）；</w:t>
      </w:r>
      <w:r w:rsidRPr="002D68FD">
        <w:rPr>
          <w:rFonts w:ascii="仿宋_GB2312" w:eastAsia="仿宋_GB2312" w:hAnsi="仿宋"/>
          <w:color w:val="000000" w:themeColor="text1"/>
          <w:sz w:val="32"/>
        </w:rPr>
        <w:t xml:space="preserve"> </w:t>
      </w:r>
    </w:p>
    <w:p w:rsidR="00C60152" w:rsidRPr="0078040E" w:rsidRDefault="002D68FD" w:rsidP="00D266C8">
      <w:pPr>
        <w:pStyle w:val="af"/>
        <w:ind w:firstLine="640"/>
        <w:rPr>
          <w:rFonts w:ascii="仿宋_GB2312" w:eastAsia="仿宋_GB2312" w:hAnsi="仿宋"/>
          <w:color w:val="000000" w:themeColor="text1"/>
          <w:sz w:val="32"/>
        </w:rPr>
      </w:pPr>
      <w:r w:rsidRPr="002D68FD">
        <w:rPr>
          <w:rFonts w:ascii="仿宋_GB2312" w:eastAsia="仿宋_GB2312" w:hAnsi="仿宋" w:hint="eastAsia"/>
          <w:color w:val="000000" w:themeColor="text1"/>
          <w:sz w:val="32"/>
        </w:rPr>
        <w:t>（六）按规定披露和发布信息，提供信息发布平台，为市场主体信息发布提供便利，获得市场成员提供的支撑市场化交易及服务需求的数据等；</w:t>
      </w:r>
    </w:p>
    <w:p w:rsidR="00C60152" w:rsidRPr="0078040E" w:rsidRDefault="002D68FD" w:rsidP="00D266C8">
      <w:pPr>
        <w:pStyle w:val="af"/>
        <w:ind w:firstLine="640"/>
        <w:rPr>
          <w:rFonts w:ascii="仿宋_GB2312" w:eastAsia="仿宋_GB2312" w:hAnsi="仿宋"/>
          <w:color w:val="000000" w:themeColor="text1"/>
          <w:sz w:val="32"/>
        </w:rPr>
      </w:pPr>
      <w:r w:rsidRPr="002D68FD">
        <w:rPr>
          <w:rFonts w:ascii="仿宋_GB2312" w:eastAsia="仿宋_GB2312" w:hAnsi="仿宋" w:hint="eastAsia"/>
          <w:color w:val="000000" w:themeColor="text1"/>
          <w:sz w:val="32"/>
        </w:rPr>
        <w:t>（七）配合国家能源局及其派出监管机构和政府电力管理部门对市场运营规则进行分析评估，提出修改建议；</w:t>
      </w:r>
    </w:p>
    <w:p w:rsidR="00C60152" w:rsidRPr="0078040E" w:rsidRDefault="002D68FD" w:rsidP="00D266C8">
      <w:pPr>
        <w:pStyle w:val="af"/>
        <w:ind w:firstLine="640"/>
        <w:rPr>
          <w:rFonts w:ascii="仿宋_GB2312" w:eastAsia="仿宋_GB2312" w:hAnsi="仿宋"/>
          <w:color w:val="000000" w:themeColor="text1"/>
          <w:sz w:val="32"/>
        </w:rPr>
      </w:pPr>
      <w:r w:rsidRPr="002D68FD">
        <w:rPr>
          <w:rFonts w:ascii="仿宋_GB2312" w:eastAsia="仿宋_GB2312" w:hAnsi="仿宋" w:hint="eastAsia"/>
          <w:color w:val="000000" w:themeColor="text1"/>
          <w:sz w:val="32"/>
        </w:rPr>
        <w:t>（八）监测和分析市场运行情况，依法依规可以干预市场，预防市场风险，并于事后向监管机构和政府相关部门及时报告；</w:t>
      </w:r>
    </w:p>
    <w:p w:rsidR="00C60152" w:rsidRPr="0078040E" w:rsidRDefault="002D68FD" w:rsidP="00D266C8">
      <w:pPr>
        <w:pStyle w:val="af"/>
        <w:ind w:firstLine="640"/>
        <w:rPr>
          <w:rFonts w:ascii="仿宋_GB2312" w:eastAsia="仿宋_GB2312" w:hAnsi="仿宋"/>
          <w:color w:val="000000" w:themeColor="text1"/>
          <w:sz w:val="32"/>
        </w:rPr>
      </w:pPr>
      <w:r w:rsidRPr="002D68FD">
        <w:rPr>
          <w:rFonts w:ascii="仿宋_GB2312" w:eastAsia="仿宋_GB2312" w:hAnsi="仿宋" w:hint="eastAsia"/>
          <w:color w:val="000000" w:themeColor="text1"/>
          <w:sz w:val="32"/>
        </w:rPr>
        <w:t>（九）对市场主体违反交易规则、扰乱市场秩序等违规行为进行报告并配合调查；</w:t>
      </w:r>
      <w:r w:rsidRPr="002D68FD">
        <w:rPr>
          <w:rFonts w:ascii="仿宋_GB2312" w:eastAsia="仿宋_GB2312" w:hAnsi="仿宋"/>
          <w:color w:val="000000" w:themeColor="text1"/>
          <w:sz w:val="32"/>
        </w:rPr>
        <w:t xml:space="preserve"> </w:t>
      </w:r>
    </w:p>
    <w:p w:rsidR="00C60152" w:rsidRPr="0078040E" w:rsidRDefault="002D68FD" w:rsidP="00D266C8">
      <w:pPr>
        <w:pStyle w:val="af"/>
        <w:ind w:firstLine="640"/>
        <w:rPr>
          <w:rFonts w:ascii="仿宋_GB2312" w:eastAsia="仿宋_GB2312" w:hAnsi="仿宋"/>
          <w:color w:val="000000" w:themeColor="text1"/>
          <w:sz w:val="32"/>
        </w:rPr>
      </w:pPr>
      <w:r w:rsidRPr="002D68FD">
        <w:rPr>
          <w:rFonts w:ascii="仿宋_GB2312" w:eastAsia="仿宋_GB2312" w:hAnsi="仿宋" w:hint="eastAsia"/>
          <w:color w:val="000000" w:themeColor="text1"/>
          <w:sz w:val="32"/>
        </w:rPr>
        <w:t>（十）法律法规规定的其他权利和义务。</w:t>
      </w:r>
    </w:p>
    <w:p w:rsidR="00C60152" w:rsidRPr="0078040E" w:rsidRDefault="002D68FD">
      <w:pPr>
        <w:pStyle w:val="af1"/>
        <w:numPr>
          <w:ilvl w:val="0"/>
          <w:numId w:val="1"/>
        </w:numPr>
        <w:spacing w:line="560" w:lineRule="exact"/>
        <w:jc w:val="both"/>
        <w:rPr>
          <w:rFonts w:ascii="仿宋_GB2312" w:eastAsia="仿宋_GB2312" w:hAnsi="仿宋"/>
          <w:color w:val="000000" w:themeColor="text1"/>
          <w:sz w:val="32"/>
        </w:rPr>
      </w:pPr>
      <w:r w:rsidRPr="002D68FD">
        <w:rPr>
          <w:rFonts w:ascii="仿宋_GB2312" w:eastAsia="仿宋_GB2312" w:hAnsi="仿宋" w:hint="eastAsia"/>
          <w:color w:val="000000" w:themeColor="text1"/>
          <w:sz w:val="32"/>
        </w:rPr>
        <w:t xml:space="preserve"> 电力调度机构的权利和义务：</w:t>
      </w:r>
    </w:p>
    <w:p w:rsidR="00C60152" w:rsidRPr="0078040E" w:rsidRDefault="002D68FD">
      <w:pPr>
        <w:pStyle w:val="af1"/>
        <w:spacing w:line="560" w:lineRule="exact"/>
        <w:ind w:firstLineChars="200" w:firstLine="640"/>
        <w:jc w:val="both"/>
        <w:rPr>
          <w:rFonts w:ascii="仿宋_GB2312" w:eastAsia="仿宋_GB2312" w:hAnsi="仿宋"/>
          <w:color w:val="000000" w:themeColor="text1"/>
          <w:sz w:val="32"/>
        </w:rPr>
      </w:pPr>
      <w:r w:rsidRPr="002D68FD">
        <w:rPr>
          <w:rFonts w:ascii="仿宋_GB2312" w:eastAsia="仿宋_GB2312" w:hAnsi="仿宋" w:hint="eastAsia"/>
          <w:color w:val="000000" w:themeColor="text1"/>
          <w:sz w:val="32"/>
        </w:rPr>
        <w:lastRenderedPageBreak/>
        <w:t>（一）负责安全校核；</w:t>
      </w:r>
    </w:p>
    <w:p w:rsidR="00C60152" w:rsidRPr="0078040E" w:rsidRDefault="002D68FD">
      <w:pPr>
        <w:pStyle w:val="af1"/>
        <w:spacing w:line="560" w:lineRule="exact"/>
        <w:ind w:firstLineChars="200" w:firstLine="640"/>
        <w:jc w:val="both"/>
        <w:rPr>
          <w:rFonts w:ascii="仿宋_GB2312" w:eastAsia="仿宋_GB2312" w:hAnsi="仿宋"/>
          <w:color w:val="000000" w:themeColor="text1"/>
          <w:sz w:val="32"/>
        </w:rPr>
      </w:pPr>
      <w:r w:rsidRPr="002D68FD">
        <w:rPr>
          <w:rFonts w:ascii="仿宋_GB2312" w:eastAsia="仿宋_GB2312" w:hAnsi="仿宋" w:hint="eastAsia"/>
          <w:color w:val="000000" w:themeColor="text1"/>
          <w:sz w:val="32"/>
        </w:rPr>
        <w:t>（二）按调度规程实施电力调度，负责系统实时平衡，保障电网安全稳定运行；</w:t>
      </w:r>
    </w:p>
    <w:p w:rsidR="00C60152" w:rsidRPr="0078040E" w:rsidRDefault="002D68FD">
      <w:pPr>
        <w:pStyle w:val="af1"/>
        <w:spacing w:line="560" w:lineRule="exact"/>
        <w:ind w:firstLineChars="200" w:firstLine="640"/>
        <w:jc w:val="both"/>
        <w:rPr>
          <w:rFonts w:ascii="仿宋_GB2312" w:eastAsia="仿宋_GB2312" w:hAnsi="仿宋"/>
          <w:color w:val="000000" w:themeColor="text1"/>
          <w:sz w:val="32"/>
        </w:rPr>
      </w:pPr>
      <w:r w:rsidRPr="002D68FD">
        <w:rPr>
          <w:rFonts w:ascii="仿宋_GB2312" w:eastAsia="仿宋_GB2312" w:hAnsi="仿宋" w:hint="eastAsia"/>
          <w:color w:val="000000" w:themeColor="text1"/>
          <w:sz w:val="32"/>
        </w:rPr>
        <w:t>（三）向电力交易机构提供安全约束边界和必开机组组合、必开机组发电量需求、影响限额的停电检修、关键通道可用输电容量等数据，配合电力交易机构履行市场运营职能；</w:t>
      </w:r>
    </w:p>
    <w:p w:rsidR="00C60152" w:rsidRPr="0078040E" w:rsidRDefault="002D68FD">
      <w:pPr>
        <w:pStyle w:val="af1"/>
        <w:spacing w:line="560" w:lineRule="exact"/>
        <w:ind w:firstLineChars="200" w:firstLine="640"/>
        <w:jc w:val="both"/>
        <w:rPr>
          <w:rFonts w:ascii="仿宋_GB2312" w:eastAsia="仿宋_GB2312" w:hAnsi="仿宋"/>
          <w:color w:val="000000" w:themeColor="text1"/>
          <w:sz w:val="32"/>
        </w:rPr>
      </w:pPr>
      <w:r w:rsidRPr="002D68FD">
        <w:rPr>
          <w:rFonts w:ascii="仿宋_GB2312" w:eastAsia="仿宋_GB2312" w:hAnsi="仿宋" w:hint="eastAsia"/>
          <w:color w:val="000000" w:themeColor="text1"/>
          <w:sz w:val="32"/>
        </w:rPr>
        <w:t>（四）合理安排电网运行方式，保障电力交易结果的执行（因电力调度机构自身原因造成实际执行与交易结果偏差时，由电力调度机构所在电网企业承担相应的经济责任），保障电力市场正常运行；</w:t>
      </w:r>
    </w:p>
    <w:p w:rsidR="00C60152" w:rsidRPr="0078040E" w:rsidRDefault="002D68FD">
      <w:pPr>
        <w:pStyle w:val="af1"/>
        <w:spacing w:line="560" w:lineRule="exact"/>
        <w:ind w:firstLineChars="200" w:firstLine="640"/>
        <w:jc w:val="both"/>
        <w:rPr>
          <w:rFonts w:ascii="仿宋_GB2312" w:eastAsia="仿宋_GB2312" w:hAnsi="仿宋"/>
          <w:color w:val="000000" w:themeColor="text1"/>
          <w:sz w:val="32"/>
        </w:rPr>
      </w:pPr>
      <w:r w:rsidRPr="002D68FD">
        <w:rPr>
          <w:rFonts w:ascii="仿宋_GB2312" w:eastAsia="仿宋_GB2312" w:hAnsi="仿宋" w:hint="eastAsia"/>
          <w:color w:val="000000" w:themeColor="text1"/>
          <w:sz w:val="32"/>
        </w:rPr>
        <w:t>（五）按规定披露和提供电网运行的相关信息，提供支撑市场化交易及市场服务所需的相关数据，按照国家网络安全有关规定实现与电力交易机构的数据交互；</w:t>
      </w:r>
    </w:p>
    <w:p w:rsidR="00C60152" w:rsidRPr="0078040E" w:rsidRDefault="002D68FD">
      <w:pPr>
        <w:pStyle w:val="af1"/>
        <w:spacing w:line="560" w:lineRule="exact"/>
        <w:ind w:firstLineChars="200" w:firstLine="640"/>
        <w:jc w:val="both"/>
        <w:rPr>
          <w:rFonts w:ascii="仿宋_GB2312" w:eastAsia="仿宋_GB2312" w:hAnsi="仿宋"/>
          <w:color w:val="000000" w:themeColor="text1"/>
          <w:sz w:val="32"/>
          <w:lang w:val="zh-CN"/>
        </w:rPr>
      </w:pPr>
      <w:r w:rsidRPr="002D68FD">
        <w:rPr>
          <w:rFonts w:ascii="仿宋_GB2312" w:eastAsia="仿宋_GB2312" w:hAnsi="仿宋" w:hint="eastAsia"/>
          <w:color w:val="000000" w:themeColor="text1"/>
          <w:sz w:val="32"/>
        </w:rPr>
        <w:t>（六）法律法规规定的其他权利和义务。</w:t>
      </w:r>
    </w:p>
    <w:bookmarkEnd w:id="7"/>
    <w:p w:rsidR="00C60152" w:rsidRPr="0078040E" w:rsidRDefault="002D68FD">
      <w:pPr>
        <w:pStyle w:val="2"/>
        <w:spacing w:before="120" w:after="120" w:line="240" w:lineRule="auto"/>
        <w:jc w:val="center"/>
        <w:rPr>
          <w:rFonts w:ascii="仿宋_GB2312" w:eastAsia="仿宋_GB2312" w:hAnsi="仿宋"/>
          <w:b w:val="0"/>
          <w:color w:val="000000" w:themeColor="text1"/>
        </w:rPr>
      </w:pPr>
      <w:r w:rsidRPr="002D68FD">
        <w:rPr>
          <w:rFonts w:ascii="仿宋_GB2312" w:eastAsia="仿宋_GB2312" w:hAnsi="仿宋" w:hint="eastAsia"/>
          <w:b w:val="0"/>
          <w:color w:val="000000" w:themeColor="text1"/>
        </w:rPr>
        <w:t>第二节</w:t>
      </w:r>
      <w:r w:rsidRPr="002D68FD">
        <w:rPr>
          <w:rFonts w:ascii="仿宋_GB2312" w:eastAsia="仿宋_GB2312" w:hAnsi="仿宋"/>
          <w:b w:val="0"/>
          <w:color w:val="000000" w:themeColor="text1"/>
        </w:rPr>
        <w:t xml:space="preserve"> </w:t>
      </w:r>
      <w:r w:rsidRPr="002D68FD">
        <w:rPr>
          <w:rFonts w:ascii="仿宋_GB2312" w:eastAsia="仿宋_GB2312" w:hAnsi="仿宋" w:hint="eastAsia"/>
          <w:b w:val="0"/>
          <w:color w:val="000000" w:themeColor="text1"/>
        </w:rPr>
        <w:t>准入与退出</w:t>
      </w:r>
    </w:p>
    <w:p w:rsidR="00C60152" w:rsidRPr="0078040E" w:rsidRDefault="002D68FD">
      <w:pPr>
        <w:pStyle w:val="af1"/>
        <w:numPr>
          <w:ilvl w:val="0"/>
          <w:numId w:val="1"/>
        </w:numPr>
        <w:spacing w:line="560" w:lineRule="exact"/>
        <w:jc w:val="both"/>
        <w:rPr>
          <w:rFonts w:ascii="仿宋_GB2312" w:eastAsia="仿宋_GB2312" w:hAnsi="仿宋"/>
          <w:color w:val="000000" w:themeColor="text1"/>
          <w:sz w:val="32"/>
        </w:rPr>
      </w:pPr>
      <w:r w:rsidRPr="002D68FD">
        <w:rPr>
          <w:rFonts w:ascii="仿宋_GB2312" w:eastAsia="仿宋_GB2312" w:hAnsi="仿宋" w:hint="eastAsia"/>
          <w:color w:val="000000" w:themeColor="text1"/>
          <w:sz w:val="32"/>
        </w:rPr>
        <w:t xml:space="preserve"> 市场主体应当是具有法人资格、财务独立核算、信用良好、能够独立承担民事责任的经济实体。内部核算的市场主体经法人单位授权，可参与相应电力交易。</w:t>
      </w:r>
    </w:p>
    <w:p w:rsidR="00C60152" w:rsidRPr="0078040E" w:rsidRDefault="002D68FD">
      <w:pPr>
        <w:pStyle w:val="af1"/>
        <w:numPr>
          <w:ilvl w:val="0"/>
          <w:numId w:val="1"/>
        </w:numPr>
        <w:tabs>
          <w:tab w:val="left" w:pos="0"/>
          <w:tab w:val="left" w:pos="1429"/>
        </w:tabs>
        <w:spacing w:line="560" w:lineRule="exact"/>
        <w:jc w:val="both"/>
        <w:rPr>
          <w:rFonts w:ascii="仿宋_GB2312" w:eastAsia="仿宋_GB2312" w:hAnsi="仿宋"/>
          <w:color w:val="000000" w:themeColor="text1"/>
          <w:sz w:val="32"/>
        </w:rPr>
      </w:pPr>
      <w:r w:rsidRPr="002D68FD">
        <w:rPr>
          <w:rFonts w:ascii="仿宋_GB2312" w:eastAsia="仿宋_GB2312" w:hAnsi="仿宋" w:hint="eastAsia"/>
          <w:color w:val="000000" w:themeColor="text1"/>
          <w:sz w:val="32"/>
        </w:rPr>
        <w:t>市场准入基本条件：</w:t>
      </w:r>
    </w:p>
    <w:p w:rsidR="00C60152" w:rsidRPr="0078040E" w:rsidRDefault="002D68FD">
      <w:pPr>
        <w:pStyle w:val="af1"/>
        <w:spacing w:line="560" w:lineRule="exact"/>
        <w:ind w:firstLineChars="200" w:firstLine="640"/>
        <w:jc w:val="both"/>
        <w:rPr>
          <w:rFonts w:ascii="仿宋_GB2312" w:eastAsia="仿宋_GB2312" w:hAnsi="仿宋"/>
          <w:color w:val="000000" w:themeColor="text1"/>
          <w:sz w:val="32"/>
        </w:rPr>
      </w:pPr>
      <w:r w:rsidRPr="002D68FD">
        <w:rPr>
          <w:rFonts w:ascii="仿宋_GB2312" w:eastAsia="仿宋_GB2312" w:hAnsi="仿宋" w:hint="eastAsia"/>
          <w:color w:val="000000" w:themeColor="text1"/>
          <w:sz w:val="32"/>
        </w:rPr>
        <w:t>（一）发电企业</w:t>
      </w:r>
    </w:p>
    <w:p w:rsidR="00C60152" w:rsidRPr="0078040E" w:rsidRDefault="002D68FD" w:rsidP="00A20B25">
      <w:pPr>
        <w:pStyle w:val="af1"/>
        <w:spacing w:line="560" w:lineRule="exact"/>
        <w:ind w:firstLineChars="200" w:firstLine="640"/>
        <w:jc w:val="both"/>
        <w:rPr>
          <w:rFonts w:ascii="仿宋_GB2312" w:eastAsia="仿宋_GB2312" w:hAnsi="仿宋"/>
          <w:color w:val="000000" w:themeColor="text1"/>
          <w:sz w:val="32"/>
        </w:rPr>
      </w:pPr>
      <w:r w:rsidRPr="002D68FD">
        <w:rPr>
          <w:rFonts w:ascii="仿宋_GB2312" w:eastAsia="仿宋_GB2312" w:hAnsi="仿宋" w:hint="eastAsia"/>
          <w:color w:val="000000" w:themeColor="text1"/>
          <w:sz w:val="32"/>
        </w:rPr>
        <w:t xml:space="preserve">1. 依法取得发电项目核准或备案文件，依法取得或者豁免电力业务许可证（发电类）; </w:t>
      </w:r>
    </w:p>
    <w:p w:rsidR="00C60152" w:rsidRPr="0078040E" w:rsidRDefault="002D68FD" w:rsidP="00F0336C">
      <w:pPr>
        <w:pStyle w:val="af1"/>
        <w:numPr>
          <w:ilvl w:val="0"/>
          <w:numId w:val="2"/>
        </w:numPr>
        <w:spacing w:line="560" w:lineRule="exact"/>
        <w:ind w:firstLineChars="200" w:firstLine="640"/>
        <w:jc w:val="both"/>
        <w:rPr>
          <w:rFonts w:ascii="仿宋_GB2312" w:eastAsia="仿宋_GB2312" w:hAnsi="仿宋"/>
          <w:color w:val="000000" w:themeColor="text1"/>
          <w:sz w:val="32"/>
        </w:rPr>
      </w:pPr>
      <w:r w:rsidRPr="002D68FD">
        <w:rPr>
          <w:rFonts w:ascii="仿宋_GB2312" w:eastAsia="仿宋_GB2312" w:hAnsi="仿宋" w:hint="eastAsia"/>
          <w:color w:val="000000" w:themeColor="text1"/>
          <w:sz w:val="32"/>
        </w:rPr>
        <w:t>并网自备电厂在公平承担发电企业社会责任、承担国家依法合规设立的政府性基金及附加以及与产业政策相符</w:t>
      </w:r>
      <w:r w:rsidRPr="002D68FD">
        <w:rPr>
          <w:rFonts w:ascii="仿宋_GB2312" w:eastAsia="仿宋_GB2312" w:hAnsi="仿宋" w:hint="eastAsia"/>
          <w:color w:val="000000" w:themeColor="text1"/>
          <w:sz w:val="32"/>
        </w:rPr>
        <w:lastRenderedPageBreak/>
        <w:t xml:space="preserve">合的政策性交叉补贴，取得电力业务许可证（发电类），达到能效、环保要求，可作为市场主体参与市场化交易； </w:t>
      </w:r>
    </w:p>
    <w:p w:rsidR="00C60152" w:rsidRPr="0078040E" w:rsidRDefault="002D68FD" w:rsidP="00F0336C">
      <w:pPr>
        <w:pStyle w:val="af1"/>
        <w:numPr>
          <w:ilvl w:val="0"/>
          <w:numId w:val="2"/>
        </w:numPr>
        <w:spacing w:line="560" w:lineRule="exact"/>
        <w:ind w:firstLineChars="200" w:firstLine="640"/>
        <w:jc w:val="both"/>
        <w:rPr>
          <w:rFonts w:ascii="仿宋_GB2312" w:eastAsia="仿宋_GB2312" w:hAnsi="仿宋"/>
          <w:color w:val="000000" w:themeColor="text1"/>
          <w:sz w:val="32"/>
        </w:rPr>
      </w:pPr>
      <w:r w:rsidRPr="002D68FD">
        <w:rPr>
          <w:rFonts w:ascii="仿宋_GB2312" w:eastAsia="仿宋_GB2312" w:hAnsi="仿宋" w:hint="eastAsia"/>
          <w:color w:val="000000" w:themeColor="text1"/>
          <w:sz w:val="32"/>
        </w:rPr>
        <w:t>分布式发电企业符合分布式发电市场化交易试点规则要求。</w:t>
      </w:r>
    </w:p>
    <w:p w:rsidR="00C60152" w:rsidRPr="0078040E" w:rsidRDefault="002D68FD">
      <w:pPr>
        <w:pStyle w:val="af1"/>
        <w:spacing w:line="560" w:lineRule="exact"/>
        <w:ind w:left="640"/>
        <w:jc w:val="both"/>
        <w:rPr>
          <w:rFonts w:ascii="仿宋_GB2312" w:eastAsia="仿宋_GB2312" w:hAnsi="仿宋"/>
          <w:color w:val="000000" w:themeColor="text1"/>
          <w:sz w:val="32"/>
        </w:rPr>
      </w:pPr>
      <w:r w:rsidRPr="002D68FD">
        <w:rPr>
          <w:rFonts w:ascii="仿宋_GB2312" w:eastAsia="仿宋_GB2312" w:hAnsi="仿宋" w:hint="eastAsia"/>
          <w:color w:val="000000" w:themeColor="text1"/>
          <w:sz w:val="32"/>
        </w:rPr>
        <w:t>（二）电力用户</w:t>
      </w:r>
    </w:p>
    <w:p w:rsidR="00E9766B" w:rsidRPr="0078040E" w:rsidRDefault="002D68FD">
      <w:pPr>
        <w:pStyle w:val="af1"/>
        <w:spacing w:line="560" w:lineRule="exact"/>
        <w:ind w:firstLineChars="200" w:firstLine="640"/>
        <w:jc w:val="both"/>
        <w:rPr>
          <w:rFonts w:ascii="仿宋_GB2312" w:eastAsia="仿宋_GB2312" w:hAnsi="仿宋" w:cs="仿宋_GB2312"/>
          <w:color w:val="000000" w:themeColor="text1"/>
          <w:sz w:val="32"/>
          <w:szCs w:val="32"/>
        </w:rPr>
      </w:pPr>
      <w:r w:rsidRPr="002D68FD">
        <w:rPr>
          <w:rFonts w:ascii="仿宋_GB2312" w:eastAsia="仿宋_GB2312" w:hAnsi="仿宋" w:cs="仿宋_GB2312"/>
          <w:color w:val="000000" w:themeColor="text1"/>
          <w:sz w:val="32"/>
          <w:szCs w:val="32"/>
        </w:rPr>
        <w:t>1.</w:t>
      </w:r>
      <w:r w:rsidRPr="002D68FD">
        <w:rPr>
          <w:rFonts w:ascii="仿宋_GB2312" w:eastAsia="仿宋_GB2312" w:hAnsi="仿宋" w:cs="仿宋_GB2312" w:hint="eastAsia"/>
          <w:color w:val="000000" w:themeColor="text1"/>
          <w:sz w:val="32"/>
          <w:szCs w:val="32"/>
        </w:rPr>
        <w:t>符合电网接入规范、满足电网安全技术要求，与电网企业签订正式供用电协议（合同）；</w:t>
      </w:r>
    </w:p>
    <w:p w:rsidR="004F38A7" w:rsidRPr="0078040E" w:rsidRDefault="002D68FD" w:rsidP="004F38A7">
      <w:pPr>
        <w:pStyle w:val="af1"/>
        <w:spacing w:line="560" w:lineRule="exact"/>
        <w:ind w:firstLineChars="200" w:firstLine="640"/>
        <w:jc w:val="both"/>
        <w:rPr>
          <w:rFonts w:ascii="仿宋_GB2312" w:eastAsia="仿宋_GB2312" w:hAnsi="仿宋" w:cs="仿宋_GB2312"/>
          <w:color w:val="000000" w:themeColor="text1"/>
          <w:sz w:val="32"/>
          <w:szCs w:val="32"/>
          <w:lang w:val="zh-CN"/>
        </w:rPr>
      </w:pPr>
      <w:r w:rsidRPr="002D68FD">
        <w:rPr>
          <w:rFonts w:ascii="仿宋_GB2312" w:eastAsia="仿宋_GB2312" w:hAnsi="仿宋" w:cs="仿宋_GB2312"/>
          <w:color w:val="000000" w:themeColor="text1"/>
          <w:sz w:val="32"/>
          <w:szCs w:val="32"/>
          <w:lang w:val="zh-CN"/>
        </w:rPr>
        <w:t>2.</w:t>
      </w:r>
      <w:r w:rsidRPr="002D68FD">
        <w:rPr>
          <w:rFonts w:ascii="仿宋_GB2312" w:eastAsia="仿宋_GB2312" w:hAnsi="仿宋" w:cs="仿宋_GB2312" w:hint="eastAsia"/>
          <w:color w:val="000000" w:themeColor="text1"/>
          <w:sz w:val="32"/>
          <w:szCs w:val="32"/>
          <w:lang w:val="zh-CN"/>
        </w:rPr>
        <w:t>经营性电力用户的发用电计划原则上全部放开。不符合国家产业政策的电力用户暂不参与市场化交易，产品和工艺属于淘汰类和限制类的电力用户严格执行现有差别电价政策；</w:t>
      </w:r>
    </w:p>
    <w:p w:rsidR="00C60152" w:rsidRPr="0078040E" w:rsidRDefault="002D68FD">
      <w:pPr>
        <w:pStyle w:val="af1"/>
        <w:spacing w:line="560" w:lineRule="exact"/>
        <w:ind w:firstLineChars="200" w:firstLine="640"/>
        <w:jc w:val="both"/>
        <w:rPr>
          <w:rFonts w:ascii="仿宋_GB2312" w:eastAsia="仿宋_GB2312" w:hAnsi="仿宋" w:cs="仿宋_GB2312"/>
          <w:color w:val="000000" w:themeColor="text1"/>
          <w:sz w:val="32"/>
          <w:szCs w:val="32"/>
          <w:lang w:val="zh-CN"/>
        </w:rPr>
      </w:pPr>
      <w:r w:rsidRPr="002D68FD">
        <w:rPr>
          <w:rFonts w:ascii="仿宋_GB2312" w:eastAsia="仿宋_GB2312" w:hAnsi="仿宋" w:cs="仿宋_GB2312"/>
          <w:color w:val="000000" w:themeColor="text1"/>
          <w:sz w:val="32"/>
          <w:szCs w:val="32"/>
        </w:rPr>
        <w:t>3.</w:t>
      </w:r>
      <w:r w:rsidRPr="002D68FD">
        <w:rPr>
          <w:rFonts w:ascii="仿宋_GB2312" w:eastAsia="仿宋_GB2312" w:hAnsi="仿宋" w:cs="仿宋_GB2312" w:hint="eastAsia"/>
          <w:color w:val="000000" w:themeColor="text1"/>
          <w:sz w:val="32"/>
          <w:szCs w:val="32"/>
          <w:lang w:val="zh-CN"/>
        </w:rPr>
        <w:t>拥有燃煤自备电厂的用户应当按国家规定承担政府性基金及附加、政策性交叉补贴；</w:t>
      </w:r>
    </w:p>
    <w:p w:rsidR="00595D8F" w:rsidRPr="0078040E" w:rsidRDefault="002D68FD" w:rsidP="00595D8F">
      <w:pPr>
        <w:pStyle w:val="af"/>
        <w:ind w:firstLine="640"/>
        <w:rPr>
          <w:rFonts w:ascii="仿宋_GB2312" w:eastAsia="仿宋_GB2312" w:hAnsi="仿宋" w:cs="仿宋_GB2312"/>
          <w:color w:val="000000" w:themeColor="text1"/>
          <w:sz w:val="32"/>
          <w:szCs w:val="32"/>
        </w:rPr>
      </w:pPr>
      <w:r w:rsidRPr="002D68FD">
        <w:rPr>
          <w:rFonts w:ascii="仿宋_GB2312" w:eastAsia="仿宋_GB2312" w:hAnsi="仿宋" w:cs="仿宋_GB2312"/>
          <w:color w:val="000000" w:themeColor="text1"/>
          <w:sz w:val="32"/>
          <w:szCs w:val="32"/>
        </w:rPr>
        <w:t>4.具备相应的计量能力或替代技术手段，满足市场计量和结算的要求。</w:t>
      </w:r>
    </w:p>
    <w:p w:rsidR="00C60152" w:rsidRPr="0078040E" w:rsidRDefault="002D68FD">
      <w:pPr>
        <w:spacing w:line="560" w:lineRule="exact"/>
        <w:ind w:firstLineChars="200" w:firstLine="640"/>
        <w:rPr>
          <w:rFonts w:ascii="仿宋_GB2312" w:eastAsia="仿宋_GB2312" w:hAnsi="仿宋"/>
          <w:color w:val="000000" w:themeColor="text1"/>
          <w:sz w:val="32"/>
        </w:rPr>
      </w:pPr>
      <w:r w:rsidRPr="002D68FD">
        <w:rPr>
          <w:rFonts w:ascii="仿宋_GB2312" w:eastAsia="仿宋_GB2312" w:hAnsi="仿宋" w:hint="eastAsia"/>
          <w:color w:val="000000" w:themeColor="text1"/>
          <w:sz w:val="32"/>
        </w:rPr>
        <w:t>（三）售电公司准入条件按照国家对售电公司准入与退出有关规定执行。拥有配电网运营权的售电公司应当取得电力业务许可证（供电类）。</w:t>
      </w:r>
    </w:p>
    <w:p w:rsidR="00C60152" w:rsidRPr="0078040E" w:rsidRDefault="002D68FD">
      <w:pPr>
        <w:pStyle w:val="af1"/>
        <w:numPr>
          <w:ilvl w:val="0"/>
          <w:numId w:val="1"/>
        </w:numPr>
        <w:tabs>
          <w:tab w:val="left" w:pos="0"/>
          <w:tab w:val="left" w:pos="1429"/>
        </w:tabs>
        <w:spacing w:line="560" w:lineRule="exact"/>
        <w:jc w:val="both"/>
        <w:rPr>
          <w:rFonts w:ascii="仿宋_GB2312" w:eastAsia="仿宋_GB2312" w:hAnsi="仿宋" w:cs="仿宋_GB2312"/>
          <w:color w:val="000000" w:themeColor="text1"/>
          <w:sz w:val="32"/>
          <w:szCs w:val="32"/>
        </w:rPr>
      </w:pPr>
      <w:r w:rsidRPr="002D68FD">
        <w:rPr>
          <w:rFonts w:ascii="仿宋_GB2312" w:eastAsia="仿宋_GB2312" w:hAnsi="仿宋" w:cs="仿宋_GB2312"/>
          <w:color w:val="000000" w:themeColor="text1"/>
          <w:sz w:val="32"/>
          <w:szCs w:val="32"/>
        </w:rPr>
        <w:t xml:space="preserve"> </w:t>
      </w:r>
      <w:r w:rsidRPr="002D68FD">
        <w:rPr>
          <w:rFonts w:ascii="仿宋_GB2312" w:eastAsia="仿宋_GB2312" w:hAnsi="仿宋" w:cs="仿宋_GB2312" w:hint="eastAsia"/>
          <w:color w:val="000000" w:themeColor="text1"/>
          <w:sz w:val="32"/>
          <w:szCs w:val="32"/>
        </w:rPr>
        <w:t>参加批发交易的市场主体及参加零售交易的电力用户均实行注册制。其中，参加零售交易的电力用户的注册手续和程序可以适当简化。</w:t>
      </w:r>
    </w:p>
    <w:p w:rsidR="00C60152" w:rsidRPr="0078040E" w:rsidRDefault="002D68FD">
      <w:pPr>
        <w:pStyle w:val="af1"/>
        <w:numPr>
          <w:ilvl w:val="0"/>
          <w:numId w:val="1"/>
        </w:numPr>
        <w:tabs>
          <w:tab w:val="left" w:pos="0"/>
          <w:tab w:val="left" w:pos="1429"/>
        </w:tabs>
        <w:spacing w:line="560" w:lineRule="exact"/>
        <w:jc w:val="both"/>
        <w:rPr>
          <w:rFonts w:ascii="仿宋_GB2312" w:eastAsia="仿宋_GB2312" w:hAnsi="仿宋" w:cs="仿宋_GB2312"/>
          <w:color w:val="000000" w:themeColor="text1"/>
          <w:sz w:val="32"/>
          <w:szCs w:val="32"/>
        </w:rPr>
      </w:pPr>
      <w:r w:rsidRPr="002D68FD">
        <w:rPr>
          <w:rFonts w:ascii="仿宋_GB2312" w:eastAsia="仿宋_GB2312" w:hAnsi="仿宋" w:cs="仿宋_GB2312"/>
          <w:color w:val="000000" w:themeColor="text1"/>
          <w:sz w:val="32"/>
          <w:szCs w:val="32"/>
        </w:rPr>
        <w:t xml:space="preserve"> </w:t>
      </w:r>
      <w:r w:rsidRPr="002D68FD">
        <w:rPr>
          <w:rFonts w:ascii="仿宋_GB2312" w:eastAsia="仿宋_GB2312" w:hAnsi="仿宋" w:cs="仿宋_GB2312" w:hint="eastAsia"/>
          <w:color w:val="000000" w:themeColor="text1"/>
          <w:sz w:val="32"/>
          <w:szCs w:val="32"/>
        </w:rPr>
        <w:t>参加市场化交易</w:t>
      </w:r>
      <w:bookmarkStart w:id="11" w:name="_Hlk24553206"/>
      <w:r w:rsidRPr="002D68FD">
        <w:rPr>
          <w:rFonts w:ascii="仿宋_GB2312" w:eastAsia="仿宋_GB2312" w:hAnsi="仿宋" w:cs="仿宋_GB2312" w:hint="eastAsia"/>
          <w:color w:val="000000" w:themeColor="text1"/>
          <w:sz w:val="32"/>
          <w:szCs w:val="32"/>
        </w:rPr>
        <w:t>（含批发、零售交易）</w:t>
      </w:r>
      <w:bookmarkEnd w:id="11"/>
      <w:r w:rsidRPr="002D68FD">
        <w:rPr>
          <w:rFonts w:ascii="仿宋_GB2312" w:eastAsia="仿宋_GB2312" w:hAnsi="仿宋" w:cs="仿宋_GB2312" w:hint="eastAsia"/>
          <w:color w:val="000000" w:themeColor="text1"/>
          <w:sz w:val="32"/>
          <w:szCs w:val="32"/>
        </w:rPr>
        <w:t>的电力用户全部电量需通过批发或者零售交易购买，且不得同时参加批发交易和零售交易。所有参加市场化交易的电力用户</w:t>
      </w:r>
      <w:r w:rsidRPr="002D68FD">
        <w:rPr>
          <w:rFonts w:ascii="仿宋_GB2312" w:eastAsia="仿宋_GB2312" w:hAnsi="仿宋" w:cs="仿宋_GB2312" w:hint="eastAsia"/>
          <w:color w:val="000000" w:themeColor="text1"/>
          <w:sz w:val="32"/>
          <w:szCs w:val="32"/>
        </w:rPr>
        <w:lastRenderedPageBreak/>
        <w:t>均不再执行目录电价。</w:t>
      </w:r>
    </w:p>
    <w:p w:rsidR="00C60152" w:rsidRPr="0078040E" w:rsidRDefault="002D68FD" w:rsidP="00180CBF">
      <w:pPr>
        <w:pStyle w:val="af1"/>
        <w:tabs>
          <w:tab w:val="left" w:pos="0"/>
        </w:tabs>
        <w:spacing w:line="560" w:lineRule="exact"/>
        <w:ind w:left="85" w:firstLineChars="200" w:firstLine="640"/>
        <w:jc w:val="both"/>
        <w:rPr>
          <w:rFonts w:ascii="仿宋_GB2312" w:eastAsia="仿宋_GB2312" w:hAnsi="仿宋" w:cs="仿宋_GB2312"/>
          <w:color w:val="000000" w:themeColor="text1"/>
          <w:sz w:val="32"/>
          <w:szCs w:val="32"/>
        </w:rPr>
      </w:pPr>
      <w:r w:rsidRPr="002D68FD">
        <w:rPr>
          <w:rFonts w:ascii="仿宋_GB2312" w:eastAsia="仿宋_GB2312" w:hAnsi="仿宋" w:cs="仿宋_GB2312" w:hint="eastAsia"/>
          <w:color w:val="000000" w:themeColor="text1"/>
          <w:sz w:val="32"/>
          <w:szCs w:val="32"/>
        </w:rPr>
        <w:t>参加市场化交易的电力用户，允许在合同期满的下一个年度，按照准入条件选择参加批发或者零售交易。</w:t>
      </w:r>
    </w:p>
    <w:p w:rsidR="00C60152" w:rsidRPr="0078040E" w:rsidRDefault="002D68FD">
      <w:pPr>
        <w:pStyle w:val="af1"/>
        <w:numPr>
          <w:ilvl w:val="0"/>
          <w:numId w:val="1"/>
        </w:numPr>
        <w:tabs>
          <w:tab w:val="left" w:pos="0"/>
          <w:tab w:val="left" w:pos="1429"/>
        </w:tabs>
        <w:spacing w:line="560" w:lineRule="exact"/>
        <w:ind w:left="0"/>
        <w:jc w:val="both"/>
        <w:rPr>
          <w:rFonts w:ascii="仿宋_GB2312" w:eastAsia="仿宋_GB2312" w:hAnsi="仿宋" w:cs="仿宋_GB2312"/>
          <w:color w:val="000000" w:themeColor="text1"/>
          <w:sz w:val="32"/>
          <w:szCs w:val="32"/>
        </w:rPr>
      </w:pPr>
      <w:r w:rsidRPr="002D68FD">
        <w:rPr>
          <w:rFonts w:ascii="仿宋_GB2312" w:eastAsia="仿宋_GB2312" w:hAnsi="仿宋" w:cs="仿宋_GB2312" w:hint="eastAsia"/>
          <w:color w:val="000000" w:themeColor="text1"/>
          <w:sz w:val="32"/>
          <w:szCs w:val="32"/>
        </w:rPr>
        <w:t>已经选择市场化交易的发电企业和电力用户，原则上不得自行退出市场。下述情况下，可办理正常退市手续：</w:t>
      </w:r>
    </w:p>
    <w:p w:rsidR="00C60152" w:rsidRPr="0078040E" w:rsidRDefault="002D68FD">
      <w:pPr>
        <w:pStyle w:val="af1"/>
        <w:tabs>
          <w:tab w:val="left" w:pos="0"/>
          <w:tab w:val="left" w:pos="312"/>
        </w:tabs>
        <w:spacing w:line="560" w:lineRule="exact"/>
        <w:ind w:firstLineChars="200" w:firstLine="640"/>
        <w:jc w:val="both"/>
        <w:rPr>
          <w:rFonts w:ascii="仿宋_GB2312" w:eastAsia="仿宋_GB2312" w:hAnsi="仿宋" w:cs="仿宋_GB2312"/>
          <w:color w:val="000000" w:themeColor="text1"/>
          <w:sz w:val="32"/>
          <w:szCs w:val="32"/>
        </w:rPr>
      </w:pPr>
      <w:r w:rsidRPr="002D68FD">
        <w:rPr>
          <w:rFonts w:ascii="仿宋_GB2312" w:eastAsia="仿宋_GB2312" w:hAnsi="仿宋" w:cs="仿宋_GB2312"/>
          <w:color w:val="000000" w:themeColor="text1"/>
          <w:sz w:val="32"/>
          <w:szCs w:val="32"/>
        </w:rPr>
        <w:t>1. 市场主体宣告破产，不再发电或用电；</w:t>
      </w:r>
    </w:p>
    <w:p w:rsidR="00C60152" w:rsidRPr="0078040E" w:rsidRDefault="002D68FD">
      <w:pPr>
        <w:pStyle w:val="af1"/>
        <w:tabs>
          <w:tab w:val="left" w:pos="0"/>
          <w:tab w:val="left" w:pos="312"/>
        </w:tabs>
        <w:spacing w:line="560" w:lineRule="exact"/>
        <w:ind w:firstLineChars="200" w:firstLine="640"/>
        <w:jc w:val="both"/>
        <w:rPr>
          <w:rFonts w:ascii="仿宋_GB2312" w:eastAsia="仿宋_GB2312" w:hAnsi="仿宋" w:cs="仿宋_GB2312"/>
          <w:color w:val="000000" w:themeColor="text1"/>
          <w:sz w:val="32"/>
          <w:szCs w:val="32"/>
        </w:rPr>
      </w:pPr>
      <w:r w:rsidRPr="002D68FD">
        <w:rPr>
          <w:rFonts w:ascii="仿宋_GB2312" w:eastAsia="仿宋_GB2312" w:hAnsi="仿宋" w:cs="仿宋_GB2312"/>
          <w:color w:val="000000" w:themeColor="text1"/>
          <w:sz w:val="32"/>
          <w:szCs w:val="32"/>
        </w:rPr>
        <w:t>2. 因</w:t>
      </w:r>
      <w:r w:rsidRPr="002D68FD">
        <w:rPr>
          <w:rFonts w:ascii="仿宋_GB2312" w:eastAsia="仿宋_GB2312" w:hAnsi="仿宋" w:cs="仿宋_GB2312" w:hint="eastAsia"/>
          <w:color w:val="000000" w:themeColor="text1"/>
          <w:sz w:val="32"/>
          <w:szCs w:val="32"/>
        </w:rPr>
        <w:t>国家政策、电力市场规则发生重大调整，导致原有市场主体非自身原因无法继续参加市场的情况；</w:t>
      </w:r>
    </w:p>
    <w:p w:rsidR="00233D96" w:rsidRPr="0078040E" w:rsidRDefault="002D68FD" w:rsidP="00233D96">
      <w:pPr>
        <w:pStyle w:val="af1"/>
        <w:tabs>
          <w:tab w:val="left" w:pos="0"/>
          <w:tab w:val="left" w:pos="312"/>
        </w:tabs>
        <w:spacing w:line="560" w:lineRule="exact"/>
        <w:ind w:firstLineChars="200" w:firstLine="640"/>
        <w:jc w:val="both"/>
        <w:rPr>
          <w:rFonts w:ascii="仿宋_GB2312" w:eastAsia="仿宋_GB2312" w:hAnsi="仿宋" w:cs="仿宋_GB2312"/>
          <w:color w:val="000000" w:themeColor="text1"/>
          <w:sz w:val="32"/>
          <w:szCs w:val="32"/>
        </w:rPr>
      </w:pPr>
      <w:r w:rsidRPr="002D68FD">
        <w:rPr>
          <w:rFonts w:ascii="仿宋_GB2312" w:eastAsia="仿宋_GB2312" w:hAnsi="仿宋" w:cs="仿宋_GB2312"/>
          <w:color w:val="000000" w:themeColor="text1"/>
          <w:sz w:val="32"/>
          <w:szCs w:val="32"/>
        </w:rPr>
        <w:t>3. 因电网网架调整，导致发电企业、电力用户的发用电物理属性无法满足所在地区的市场准入条件。</w:t>
      </w:r>
    </w:p>
    <w:p w:rsidR="00180CBF" w:rsidRPr="0078040E" w:rsidRDefault="002D68FD" w:rsidP="00180CBF">
      <w:pPr>
        <w:pStyle w:val="af1"/>
        <w:tabs>
          <w:tab w:val="left" w:pos="0"/>
          <w:tab w:val="left" w:pos="312"/>
        </w:tabs>
        <w:spacing w:line="560" w:lineRule="exact"/>
        <w:ind w:firstLineChars="200" w:firstLine="640"/>
        <w:jc w:val="both"/>
        <w:rPr>
          <w:rFonts w:ascii="仿宋_GB2312" w:eastAsia="仿宋_GB2312" w:hAnsi="仿宋" w:cs="仿宋_GB2312"/>
          <w:color w:val="000000" w:themeColor="text1"/>
          <w:sz w:val="32"/>
          <w:szCs w:val="32"/>
        </w:rPr>
      </w:pPr>
      <w:r w:rsidRPr="002D68FD">
        <w:rPr>
          <w:rFonts w:ascii="仿宋_GB2312" w:eastAsia="仿宋_GB2312" w:hAnsi="仿宋" w:cs="仿宋_GB2312" w:hint="eastAsia"/>
          <w:color w:val="000000" w:themeColor="text1"/>
          <w:sz w:val="32"/>
          <w:szCs w:val="32"/>
        </w:rPr>
        <w:t>上述市场主体，在办理正常退市手续后，执行国家相关的发用电政策。售电公司退出条件按照国家对售电公司准入与退出有关规定执行。</w:t>
      </w:r>
    </w:p>
    <w:p w:rsidR="002D68FD" w:rsidRPr="002D68FD" w:rsidRDefault="002D68FD" w:rsidP="002D68FD">
      <w:pPr>
        <w:pStyle w:val="af1"/>
        <w:numPr>
          <w:ilvl w:val="0"/>
          <w:numId w:val="1"/>
        </w:numPr>
        <w:tabs>
          <w:tab w:val="left" w:pos="0"/>
          <w:tab w:val="left" w:pos="1429"/>
        </w:tabs>
        <w:spacing w:line="560" w:lineRule="exact"/>
        <w:ind w:left="0" w:firstLineChars="200" w:firstLine="640"/>
        <w:jc w:val="both"/>
        <w:rPr>
          <w:rFonts w:ascii="仿宋_GB2312" w:eastAsia="仿宋_GB2312" w:hAnsi="仿宋" w:cs="仿宋_GB2312"/>
          <w:color w:val="000000" w:themeColor="text1"/>
          <w:sz w:val="32"/>
          <w:szCs w:val="32"/>
        </w:rPr>
      </w:pPr>
      <w:r w:rsidRPr="002D68FD">
        <w:rPr>
          <w:rFonts w:ascii="仿宋_GB2312" w:eastAsia="仿宋_GB2312" w:hAnsi="仿宋" w:cs="仿宋_GB2312" w:hint="eastAsia"/>
          <w:color w:val="000000" w:themeColor="text1"/>
          <w:sz w:val="32"/>
          <w:szCs w:val="32"/>
        </w:rPr>
        <w:t>退出市场的市场主体需妥善处理其全部合同义务。非正常退市的市场主体，原则上原法人及其法人代表三年内均不得再选择市场化交易。</w:t>
      </w:r>
    </w:p>
    <w:p w:rsidR="00C60152" w:rsidRPr="005B78E0" w:rsidRDefault="002D68FD" w:rsidP="00181E60">
      <w:pPr>
        <w:pStyle w:val="af1"/>
        <w:numPr>
          <w:ilvl w:val="0"/>
          <w:numId w:val="1"/>
        </w:numPr>
        <w:tabs>
          <w:tab w:val="left" w:pos="0"/>
        </w:tabs>
        <w:spacing w:line="560" w:lineRule="exact"/>
        <w:jc w:val="both"/>
        <w:rPr>
          <w:rFonts w:ascii="仿宋_GB2312" w:eastAsia="仿宋_GB2312" w:hAnsi="仿宋" w:cs="仿宋_GB2312"/>
          <w:color w:val="000000" w:themeColor="text1"/>
          <w:sz w:val="32"/>
          <w:szCs w:val="32"/>
        </w:rPr>
      </w:pPr>
      <w:r w:rsidRPr="002D68FD">
        <w:rPr>
          <w:rFonts w:ascii="仿宋_GB2312" w:eastAsia="仿宋_GB2312" w:hAnsi="仿宋" w:cs="仿宋_GB2312" w:hint="eastAsia"/>
          <w:color w:val="000000" w:themeColor="text1"/>
          <w:sz w:val="32"/>
          <w:szCs w:val="32"/>
        </w:rPr>
        <w:t>非正常退市的电力用户，由为其提供输配电服务的电网企业承担保底供电责任，用电价格按照政府价格主管部门确定的保底价格执行。</w:t>
      </w:r>
    </w:p>
    <w:p w:rsidR="004B3CC7" w:rsidRPr="005B78E0" w:rsidRDefault="002D68FD">
      <w:pPr>
        <w:pStyle w:val="af1"/>
        <w:numPr>
          <w:ilvl w:val="0"/>
          <w:numId w:val="1"/>
        </w:numPr>
        <w:tabs>
          <w:tab w:val="left" w:pos="0"/>
        </w:tabs>
        <w:spacing w:line="560" w:lineRule="exact"/>
        <w:jc w:val="both"/>
        <w:rPr>
          <w:rFonts w:ascii="仿宋_GB2312" w:eastAsia="仿宋_GB2312" w:hAnsi="仿宋" w:cs="仿宋_GB2312"/>
          <w:color w:val="000000" w:themeColor="text1"/>
          <w:sz w:val="32"/>
          <w:szCs w:val="32"/>
        </w:rPr>
      </w:pPr>
      <w:r w:rsidRPr="002D68FD">
        <w:rPr>
          <w:rFonts w:ascii="仿宋_GB2312" w:eastAsia="仿宋_GB2312" w:hAnsi="仿宋" w:cs="仿宋_GB2312" w:hint="eastAsia"/>
          <w:color w:val="000000" w:themeColor="text1"/>
          <w:sz w:val="32"/>
          <w:szCs w:val="32"/>
        </w:rPr>
        <w:t>完成市场注册且已开展交易的电力用户，合同期满后未签订新的交易合同但发生实际用电时，不再按政府目录电价结算。其中，参加批发交易的用户按各地规则进行偏差结算，参加零售交易的用户按保底价格进行结算。</w:t>
      </w:r>
    </w:p>
    <w:p w:rsidR="00000000" w:rsidRDefault="002D68FD">
      <w:pPr>
        <w:pStyle w:val="af1"/>
        <w:tabs>
          <w:tab w:val="left" w:pos="0"/>
        </w:tabs>
        <w:spacing w:line="560" w:lineRule="exact"/>
        <w:ind w:left="85" w:firstLineChars="200" w:firstLine="640"/>
        <w:jc w:val="both"/>
        <w:rPr>
          <w:rFonts w:ascii="仿宋_GB2312" w:eastAsia="仿宋_GB2312" w:hAnsi="仿宋" w:cs="仿宋_GB2312"/>
          <w:color w:val="000000" w:themeColor="text1"/>
          <w:sz w:val="32"/>
          <w:szCs w:val="32"/>
        </w:rPr>
      </w:pPr>
      <w:r w:rsidRPr="002D68FD">
        <w:rPr>
          <w:rFonts w:ascii="仿宋_GB2312" w:eastAsia="仿宋_GB2312" w:hAnsi="仿宋" w:cs="仿宋_GB2312" w:hint="eastAsia"/>
          <w:color w:val="000000" w:themeColor="text1"/>
          <w:sz w:val="32"/>
          <w:szCs w:val="32"/>
        </w:rPr>
        <w:lastRenderedPageBreak/>
        <w:t>完成市场注册但未开展交易的电力用户，可探索公开招标确定售电公司提供零售服务等市场价格形成机制，也可执行政府目录电价。</w:t>
      </w:r>
    </w:p>
    <w:p w:rsidR="00000000" w:rsidRDefault="002D68FD" w:rsidP="004F5F93">
      <w:pPr>
        <w:pStyle w:val="af1"/>
        <w:tabs>
          <w:tab w:val="left" w:pos="0"/>
        </w:tabs>
        <w:spacing w:line="560" w:lineRule="exact"/>
        <w:ind w:left="85" w:firstLine="640"/>
        <w:jc w:val="both"/>
        <w:rPr>
          <w:rFonts w:ascii="仿宋_GB2312" w:eastAsia="仿宋_GB2312" w:hAnsi="仿宋"/>
          <w:color w:val="000000" w:themeColor="text1"/>
        </w:rPr>
      </w:pPr>
      <w:r w:rsidRPr="002D68FD">
        <w:rPr>
          <w:rFonts w:ascii="仿宋_GB2312" w:eastAsia="仿宋_GB2312" w:hAnsi="仿宋" w:cs="仿宋_GB2312"/>
          <w:color w:val="000000" w:themeColor="text1"/>
          <w:sz w:val="32"/>
          <w:szCs w:val="32"/>
        </w:rPr>
        <w:t xml:space="preserve">    </w:t>
      </w:r>
    </w:p>
    <w:p w:rsidR="00C60152" w:rsidRPr="0078040E" w:rsidRDefault="002D68FD">
      <w:pPr>
        <w:pStyle w:val="1"/>
        <w:spacing w:before="120" w:after="120" w:line="240" w:lineRule="auto"/>
        <w:jc w:val="center"/>
        <w:rPr>
          <w:rFonts w:ascii="仿宋_GB2312" w:eastAsia="仿宋_GB2312" w:hAnsi="仿宋"/>
          <w:color w:val="000000" w:themeColor="text1"/>
          <w:sz w:val="32"/>
        </w:rPr>
      </w:pPr>
      <w:r w:rsidRPr="002D68FD">
        <w:rPr>
          <w:rFonts w:ascii="仿宋_GB2312" w:eastAsia="仿宋_GB2312" w:hAnsi="仿宋"/>
          <w:color w:val="000000" w:themeColor="text1"/>
          <w:sz w:val="32"/>
        </w:rPr>
        <w:t>第三章 市场注册、变更与注销</w:t>
      </w:r>
    </w:p>
    <w:p w:rsidR="00C60152" w:rsidRPr="0078040E" w:rsidRDefault="002D68FD">
      <w:pPr>
        <w:pStyle w:val="af1"/>
        <w:numPr>
          <w:ilvl w:val="0"/>
          <w:numId w:val="1"/>
        </w:numPr>
        <w:spacing w:line="560" w:lineRule="exact"/>
        <w:jc w:val="both"/>
        <w:rPr>
          <w:rFonts w:ascii="仿宋_GB2312" w:eastAsia="仿宋_GB2312" w:hAnsi="仿宋"/>
          <w:color w:val="000000" w:themeColor="text1"/>
          <w:sz w:val="32"/>
          <w:szCs w:val="32"/>
        </w:rPr>
      </w:pPr>
      <w:r w:rsidRPr="002D68FD">
        <w:rPr>
          <w:rFonts w:ascii="仿宋_GB2312" w:eastAsia="仿宋_GB2312" w:hAnsi="仿宋" w:hint="eastAsia"/>
          <w:color w:val="000000" w:themeColor="text1"/>
          <w:sz w:val="32"/>
          <w:szCs w:val="32"/>
        </w:rPr>
        <w:t>市场注册业务包括注册、信息变更、市场注销及</w:t>
      </w:r>
      <w:bookmarkStart w:id="12" w:name="_Hlk24697490"/>
      <w:r w:rsidRPr="002D68FD">
        <w:rPr>
          <w:rFonts w:ascii="仿宋_GB2312" w:eastAsia="仿宋_GB2312" w:hAnsi="仿宋" w:hint="eastAsia"/>
          <w:color w:val="000000" w:themeColor="text1"/>
          <w:sz w:val="32"/>
          <w:szCs w:val="32"/>
        </w:rPr>
        <w:t>零售用户与售电公司业务关系确定</w:t>
      </w:r>
      <w:bookmarkEnd w:id="12"/>
      <w:r w:rsidRPr="002D68FD">
        <w:rPr>
          <w:rFonts w:ascii="仿宋_GB2312" w:eastAsia="仿宋_GB2312" w:hAnsi="仿宋" w:hint="eastAsia"/>
          <w:color w:val="000000" w:themeColor="text1"/>
          <w:sz w:val="32"/>
          <w:szCs w:val="32"/>
        </w:rPr>
        <w:t>等。</w:t>
      </w:r>
    </w:p>
    <w:p w:rsidR="00C60152" w:rsidRPr="0078040E" w:rsidRDefault="002D68FD">
      <w:pPr>
        <w:pStyle w:val="af1"/>
        <w:numPr>
          <w:ilvl w:val="0"/>
          <w:numId w:val="1"/>
        </w:numPr>
        <w:spacing w:line="560" w:lineRule="exact"/>
        <w:jc w:val="both"/>
        <w:rPr>
          <w:rFonts w:ascii="仿宋_GB2312" w:eastAsia="仿宋_GB2312" w:hAnsi="仿宋"/>
          <w:color w:val="000000" w:themeColor="text1"/>
          <w:sz w:val="32"/>
          <w:szCs w:val="32"/>
        </w:rPr>
      </w:pPr>
      <w:r w:rsidRPr="002D68FD">
        <w:rPr>
          <w:rFonts w:ascii="仿宋_GB2312" w:eastAsia="仿宋_GB2312" w:hAnsi="仿宋" w:hint="eastAsia"/>
          <w:color w:val="000000" w:themeColor="text1"/>
          <w:sz w:val="32"/>
          <w:szCs w:val="32"/>
        </w:rPr>
        <w:t>市场主体参与电力市场化交易，应当符合准入条件，在电力交易机构办理市场注册，按有关规定履行承诺、公示、注册、备案等相关手续。市场主体应当保证注册提交材料的真实性、完整性。</w:t>
      </w:r>
    </w:p>
    <w:p w:rsidR="00EB6081" w:rsidRPr="0078040E" w:rsidRDefault="002D68FD" w:rsidP="00EB6081">
      <w:pPr>
        <w:pStyle w:val="af1"/>
        <w:numPr>
          <w:ilvl w:val="0"/>
          <w:numId w:val="1"/>
        </w:numPr>
        <w:spacing w:line="560" w:lineRule="exact"/>
        <w:jc w:val="both"/>
        <w:rPr>
          <w:rFonts w:ascii="仿宋_GB2312" w:eastAsia="仿宋_GB2312" w:hAnsi="仿宋"/>
          <w:color w:val="000000" w:themeColor="text1"/>
          <w:sz w:val="32"/>
        </w:rPr>
      </w:pPr>
      <w:r w:rsidRPr="002D68FD">
        <w:rPr>
          <w:rFonts w:ascii="仿宋_GB2312" w:eastAsia="仿宋_GB2312" w:hAnsi="仿宋" w:hint="eastAsia"/>
          <w:color w:val="000000" w:themeColor="text1"/>
          <w:sz w:val="32"/>
          <w:szCs w:val="32"/>
        </w:rPr>
        <w:t>企事业单位、机关团体等办理注册手续时应当关联用电户号等实际用电信息，并提供必要的单位名称、</w:t>
      </w:r>
      <w:r w:rsidRPr="002D68FD">
        <w:rPr>
          <w:rFonts w:ascii="仿宋_GB2312" w:eastAsia="仿宋_GB2312" w:hAnsi="仿宋" w:hint="eastAsia"/>
          <w:color w:val="000000" w:themeColor="text1"/>
          <w:sz w:val="32"/>
        </w:rPr>
        <w:t>法人代表、联系方式等。</w:t>
      </w:r>
    </w:p>
    <w:p w:rsidR="00C60152" w:rsidRPr="0078040E" w:rsidRDefault="002D68FD" w:rsidP="00180CBF">
      <w:pPr>
        <w:pStyle w:val="af1"/>
        <w:spacing w:line="560" w:lineRule="exact"/>
        <w:ind w:left="85" w:firstLineChars="200" w:firstLine="640"/>
        <w:jc w:val="both"/>
        <w:rPr>
          <w:rFonts w:ascii="仿宋_GB2312" w:eastAsia="仿宋_GB2312" w:hAnsi="仿宋"/>
          <w:color w:val="000000" w:themeColor="text1"/>
          <w:sz w:val="32"/>
        </w:rPr>
      </w:pPr>
      <w:r w:rsidRPr="002D68FD">
        <w:rPr>
          <w:rFonts w:ascii="仿宋_GB2312" w:eastAsia="仿宋_GB2312" w:hAnsi="仿宋" w:hint="eastAsia"/>
          <w:color w:val="000000" w:themeColor="text1"/>
          <w:sz w:val="32"/>
        </w:rPr>
        <w:t>参与批发交易的市场主体，应当办理数字安全证书或采取同等安全等级的身份认证手段。</w:t>
      </w:r>
    </w:p>
    <w:p w:rsidR="00C60152" w:rsidRPr="0078040E" w:rsidRDefault="002D68FD">
      <w:pPr>
        <w:pStyle w:val="af1"/>
        <w:numPr>
          <w:ilvl w:val="0"/>
          <w:numId w:val="1"/>
        </w:numPr>
        <w:spacing w:line="560" w:lineRule="exact"/>
        <w:jc w:val="both"/>
        <w:rPr>
          <w:rFonts w:ascii="仿宋_GB2312" w:eastAsia="仿宋_GB2312" w:hAnsi="仿宋"/>
          <w:color w:val="000000" w:themeColor="text1"/>
          <w:sz w:val="32"/>
        </w:rPr>
      </w:pPr>
      <w:bookmarkStart w:id="13" w:name="_Hlk24697527"/>
      <w:r w:rsidRPr="002D68FD">
        <w:rPr>
          <w:rFonts w:ascii="仿宋_GB2312" w:eastAsia="仿宋_GB2312" w:hAnsi="仿宋" w:hint="eastAsia"/>
          <w:color w:val="000000" w:themeColor="text1"/>
          <w:sz w:val="32"/>
        </w:rPr>
        <w:t>办理售电增项业务的发电企业，应当分别以发电企业和售电公司的市场主体类别进行注册</w:t>
      </w:r>
      <w:bookmarkEnd w:id="13"/>
      <w:r w:rsidRPr="002D68FD">
        <w:rPr>
          <w:rFonts w:ascii="仿宋_GB2312" w:eastAsia="仿宋_GB2312" w:hAnsi="仿宋" w:hint="eastAsia"/>
          <w:color w:val="000000" w:themeColor="text1"/>
          <w:sz w:val="32"/>
        </w:rPr>
        <w:t>。</w:t>
      </w:r>
    </w:p>
    <w:p w:rsidR="00C60152" w:rsidRPr="0078040E" w:rsidRDefault="002D68FD">
      <w:pPr>
        <w:pStyle w:val="af1"/>
        <w:numPr>
          <w:ilvl w:val="0"/>
          <w:numId w:val="1"/>
        </w:numPr>
        <w:tabs>
          <w:tab w:val="left" w:pos="1429"/>
        </w:tabs>
        <w:spacing w:line="560" w:lineRule="exact"/>
        <w:jc w:val="both"/>
        <w:rPr>
          <w:rFonts w:ascii="仿宋_GB2312" w:eastAsia="仿宋_GB2312" w:hAnsi="仿宋"/>
          <w:color w:val="000000" w:themeColor="text1"/>
          <w:sz w:val="32"/>
          <w:szCs w:val="22"/>
        </w:rPr>
      </w:pPr>
      <w:r w:rsidRPr="002D68FD">
        <w:rPr>
          <w:rFonts w:ascii="仿宋_GB2312" w:eastAsia="仿宋_GB2312" w:hAnsi="仿宋" w:hint="eastAsia"/>
          <w:color w:val="000000" w:themeColor="text1"/>
          <w:sz w:val="32"/>
          <w:szCs w:val="22"/>
        </w:rPr>
        <w:t>当国家政策调整或交易规则发生重大变化时，电力交易机构可组织已注册市场主体重新办理注册手续。</w:t>
      </w:r>
    </w:p>
    <w:p w:rsidR="00C60152" w:rsidRPr="0078040E" w:rsidRDefault="002D68FD">
      <w:pPr>
        <w:pStyle w:val="af1"/>
        <w:numPr>
          <w:ilvl w:val="0"/>
          <w:numId w:val="1"/>
        </w:numPr>
        <w:tabs>
          <w:tab w:val="left" w:pos="1429"/>
        </w:tabs>
        <w:spacing w:line="560" w:lineRule="exact"/>
        <w:jc w:val="both"/>
        <w:rPr>
          <w:rFonts w:ascii="仿宋_GB2312" w:eastAsia="仿宋_GB2312" w:hAnsi="仿宋"/>
          <w:color w:val="000000" w:themeColor="text1"/>
          <w:sz w:val="32"/>
          <w:szCs w:val="22"/>
        </w:rPr>
      </w:pPr>
      <w:r w:rsidRPr="002D68FD">
        <w:rPr>
          <w:rFonts w:ascii="仿宋_GB2312" w:eastAsia="仿宋_GB2312" w:hAnsi="仿宋" w:hint="eastAsia"/>
          <w:color w:val="000000" w:themeColor="text1"/>
          <w:sz w:val="32"/>
          <w:szCs w:val="22"/>
        </w:rPr>
        <w:t>市场主体注册信息发生变更时，应当及时向电力交易机构提出变更申请。市场主体类别、法人、业务范围、公司主要股东等有重大变化的，市场主体应当再次予以承诺、公示。公示期满无异议的，电力交易机构向社会发</w:t>
      </w:r>
      <w:r w:rsidRPr="002D68FD">
        <w:rPr>
          <w:rFonts w:ascii="仿宋_GB2312" w:eastAsia="仿宋_GB2312" w:hAnsi="仿宋" w:hint="eastAsia"/>
          <w:color w:val="000000" w:themeColor="text1"/>
          <w:sz w:val="32"/>
          <w:szCs w:val="22"/>
        </w:rPr>
        <w:lastRenderedPageBreak/>
        <w:t>布。</w:t>
      </w:r>
    </w:p>
    <w:p w:rsidR="00C60152" w:rsidRPr="0078040E" w:rsidRDefault="002D68FD" w:rsidP="00A20B25">
      <w:pPr>
        <w:pStyle w:val="af1"/>
        <w:numPr>
          <w:ilvl w:val="0"/>
          <w:numId w:val="1"/>
        </w:numPr>
        <w:tabs>
          <w:tab w:val="left" w:pos="1429"/>
        </w:tabs>
        <w:spacing w:line="560" w:lineRule="exact"/>
        <w:jc w:val="both"/>
        <w:rPr>
          <w:rFonts w:ascii="仿宋_GB2312" w:eastAsia="仿宋_GB2312" w:hAnsi="仿宋"/>
          <w:color w:val="000000" w:themeColor="text1"/>
          <w:sz w:val="32"/>
        </w:rPr>
      </w:pPr>
      <w:r w:rsidRPr="002D68FD">
        <w:rPr>
          <w:rFonts w:ascii="仿宋_GB2312" w:eastAsia="仿宋_GB2312" w:hAnsi="仿宋" w:hint="eastAsia"/>
          <w:color w:val="000000" w:themeColor="text1"/>
          <w:sz w:val="32"/>
        </w:rPr>
        <w:t>电力用户或售电公司关联的用户发生并户、销户、过户、改名或者用电类别、电压等级等信息发生变化时，市场主体应当在电网企业办理变更的同时，在电力交易机构办理注册信息变更手续。业务手续办理期间，电网企业需向电力交易机构提供分段计量数据。电力交易机构完成注册信息变更后，开展交易结算，提供结算依据。</w:t>
      </w:r>
    </w:p>
    <w:p w:rsidR="00C60152" w:rsidRPr="0078040E" w:rsidRDefault="002D68FD">
      <w:pPr>
        <w:pStyle w:val="CharCharCharCharCharCharCharCharCharCharCharChar"/>
        <w:numPr>
          <w:ilvl w:val="0"/>
          <w:numId w:val="1"/>
        </w:numPr>
        <w:tabs>
          <w:tab w:val="left" w:pos="0"/>
          <w:tab w:val="left" w:pos="1135"/>
          <w:tab w:val="left" w:pos="1429"/>
        </w:tabs>
        <w:spacing w:line="560" w:lineRule="exact"/>
        <w:ind w:firstLine="646"/>
        <w:rPr>
          <w:rFonts w:ascii="仿宋_GB2312" w:eastAsia="仿宋_GB2312" w:hAnsi="仿宋" w:cs="仿宋_GB2312"/>
          <w:color w:val="000000" w:themeColor="text1"/>
          <w:sz w:val="32"/>
          <w:szCs w:val="32"/>
        </w:rPr>
      </w:pPr>
      <w:r w:rsidRPr="002D68FD">
        <w:rPr>
          <w:rFonts w:ascii="仿宋_GB2312" w:eastAsia="仿宋_GB2312" w:hAnsi="仿宋" w:hint="eastAsia"/>
          <w:color w:val="000000" w:themeColor="text1"/>
          <w:sz w:val="32"/>
          <w:szCs w:val="22"/>
        </w:rPr>
        <w:t>退出市场</w:t>
      </w:r>
      <w:r w:rsidRPr="002D68FD">
        <w:rPr>
          <w:rFonts w:ascii="仿宋_GB2312" w:eastAsia="仿宋_GB2312" w:hAnsi="仿宋" w:cs="仿宋_GB2312" w:hint="eastAsia"/>
          <w:color w:val="000000" w:themeColor="text1"/>
          <w:sz w:val="32"/>
          <w:szCs w:val="32"/>
        </w:rPr>
        <w:t>的市场主体，应当及时向电力交易机构提出注销申请，按要求进行公示，履行或处理完成交易合同有关事项后予以注销。</w:t>
      </w:r>
    </w:p>
    <w:p w:rsidR="00C60152" w:rsidRPr="0078040E" w:rsidRDefault="002D68FD">
      <w:pPr>
        <w:pStyle w:val="af1"/>
        <w:numPr>
          <w:ilvl w:val="0"/>
          <w:numId w:val="1"/>
        </w:numPr>
        <w:spacing w:line="560" w:lineRule="exact"/>
        <w:jc w:val="both"/>
        <w:rPr>
          <w:rFonts w:ascii="仿宋_GB2312" w:eastAsia="仿宋_GB2312" w:hAnsi="仿宋"/>
          <w:color w:val="000000" w:themeColor="text1"/>
          <w:sz w:val="32"/>
        </w:rPr>
      </w:pPr>
      <w:r w:rsidRPr="002D68FD">
        <w:rPr>
          <w:rFonts w:ascii="仿宋_GB2312" w:eastAsia="仿宋_GB2312" w:hAnsi="仿宋" w:cs="仿宋_GB2312" w:hint="eastAsia"/>
          <w:color w:val="000000" w:themeColor="text1"/>
          <w:sz w:val="32"/>
          <w:szCs w:val="32"/>
        </w:rPr>
        <w:t>发电企业、电力用户、增量配电网企业根据交易需求和调度管理关系在相应的电力交易机构办理注册手续；售电公司自主选择一家电力交易机构办理注册手续。各电力交易机构共享注册信息，无须重复注册，按照相应省区的准入条件和市场规则参与交易。电力交易机构根据市场主体注册情况向国家能源局及其派出监管机构、省级政府有关部门和政府引入的第三方征信机构备案，并通过政府指定网站和电力交易机构网站向社会公布。</w:t>
      </w:r>
    </w:p>
    <w:p w:rsidR="00C60152" w:rsidRPr="0078040E" w:rsidRDefault="002D68FD">
      <w:pPr>
        <w:pStyle w:val="1"/>
        <w:spacing w:before="120" w:after="120" w:line="240" w:lineRule="auto"/>
        <w:jc w:val="center"/>
        <w:rPr>
          <w:rFonts w:ascii="仿宋_GB2312" w:eastAsia="仿宋_GB2312" w:hAnsi="仿宋"/>
          <w:color w:val="000000" w:themeColor="text1"/>
          <w:sz w:val="32"/>
          <w:szCs w:val="32"/>
        </w:rPr>
      </w:pPr>
      <w:bookmarkStart w:id="14" w:name="_Toc429855131"/>
      <w:bookmarkStart w:id="15" w:name="_Toc430176616"/>
      <w:bookmarkStart w:id="16" w:name="_Toc430684125"/>
      <w:bookmarkStart w:id="17" w:name="_Toc430176617"/>
      <w:bookmarkStart w:id="18" w:name="_Toc430684126"/>
      <w:r w:rsidRPr="002D68FD">
        <w:rPr>
          <w:rFonts w:ascii="仿宋_GB2312" w:eastAsia="仿宋_GB2312" w:hAnsi="仿宋"/>
          <w:color w:val="000000" w:themeColor="text1"/>
          <w:sz w:val="32"/>
          <w:szCs w:val="32"/>
        </w:rPr>
        <w:t xml:space="preserve">第四章 </w:t>
      </w:r>
      <w:bookmarkEnd w:id="14"/>
      <w:r w:rsidRPr="002D68FD">
        <w:rPr>
          <w:rFonts w:ascii="仿宋_GB2312" w:eastAsia="仿宋_GB2312" w:hAnsi="仿宋"/>
          <w:color w:val="000000" w:themeColor="text1"/>
          <w:sz w:val="32"/>
          <w:szCs w:val="32"/>
        </w:rPr>
        <w:t>交易品种和交易方式</w:t>
      </w:r>
      <w:bookmarkEnd w:id="15"/>
      <w:bookmarkEnd w:id="16"/>
    </w:p>
    <w:p w:rsidR="00C60152" w:rsidRPr="0078040E" w:rsidRDefault="002D68FD">
      <w:pPr>
        <w:pStyle w:val="af1"/>
        <w:numPr>
          <w:ilvl w:val="0"/>
          <w:numId w:val="1"/>
        </w:numPr>
        <w:spacing w:line="560" w:lineRule="exact"/>
        <w:ind w:left="0" w:firstLineChars="200" w:firstLine="640"/>
        <w:jc w:val="both"/>
        <w:rPr>
          <w:rFonts w:ascii="仿宋_GB2312" w:eastAsia="仿宋_GB2312" w:hAnsi="仿宋"/>
          <w:color w:val="000000" w:themeColor="text1"/>
          <w:sz w:val="32"/>
          <w:szCs w:val="32"/>
        </w:rPr>
      </w:pPr>
      <w:r w:rsidRPr="002D68FD">
        <w:rPr>
          <w:rFonts w:ascii="仿宋_GB2312" w:eastAsia="仿宋_GB2312" w:hAnsi="仿宋" w:hint="eastAsia"/>
          <w:color w:val="000000" w:themeColor="text1"/>
          <w:sz w:val="32"/>
          <w:szCs w:val="32"/>
        </w:rPr>
        <w:t>电力中长期交易现阶段主要开展电能量交易，根据市场发展需要开展输电权、容量等交易。</w:t>
      </w:r>
    </w:p>
    <w:p w:rsidR="00C128AE" w:rsidRPr="0078040E" w:rsidRDefault="002D68FD" w:rsidP="00180CBF">
      <w:pPr>
        <w:pStyle w:val="af1"/>
        <w:numPr>
          <w:ilvl w:val="0"/>
          <w:numId w:val="1"/>
        </w:numPr>
        <w:spacing w:line="560" w:lineRule="exact"/>
        <w:jc w:val="both"/>
        <w:rPr>
          <w:rFonts w:ascii="仿宋_GB2312" w:eastAsia="仿宋_GB2312" w:hAnsi="仿宋"/>
          <w:color w:val="000000" w:themeColor="text1"/>
          <w:sz w:val="32"/>
          <w:szCs w:val="32"/>
        </w:rPr>
      </w:pPr>
      <w:r w:rsidRPr="002D68FD">
        <w:rPr>
          <w:rFonts w:ascii="仿宋_GB2312" w:eastAsia="仿宋_GB2312" w:hAnsi="仿宋" w:hint="eastAsia"/>
          <w:color w:val="000000" w:themeColor="text1"/>
          <w:sz w:val="32"/>
          <w:szCs w:val="32"/>
        </w:rPr>
        <w:t>根据交易标的物的不同，中长期电能量交易包括年度（多年）电量交易（以某个或多个年度的电量作为交易标的物，并分解到月）、月度电量交易（以某个月度</w:t>
      </w:r>
      <w:r w:rsidRPr="002D68FD">
        <w:rPr>
          <w:rFonts w:ascii="仿宋_GB2312" w:eastAsia="仿宋_GB2312" w:hAnsi="仿宋" w:hint="eastAsia"/>
          <w:color w:val="000000" w:themeColor="text1"/>
          <w:sz w:val="32"/>
          <w:szCs w:val="32"/>
        </w:rPr>
        <w:lastRenderedPageBreak/>
        <w:t>的电量作为交易标的物）、月内（多日）电量交易（以月内剩余天数的电量或特定天数的电量作为交易标的物）等针对不同交割周期的电量交易。</w:t>
      </w:r>
    </w:p>
    <w:p w:rsidR="00C60152" w:rsidRPr="0078040E" w:rsidRDefault="002D68FD" w:rsidP="00180CBF">
      <w:pPr>
        <w:pStyle w:val="af1"/>
        <w:numPr>
          <w:ilvl w:val="0"/>
          <w:numId w:val="1"/>
        </w:numPr>
        <w:spacing w:line="560" w:lineRule="exact"/>
        <w:ind w:left="0" w:firstLineChars="200" w:firstLine="640"/>
        <w:jc w:val="both"/>
        <w:rPr>
          <w:rFonts w:ascii="仿宋_GB2312" w:eastAsia="仿宋_GB2312" w:hAnsi="仿宋"/>
          <w:color w:val="000000" w:themeColor="text1"/>
          <w:sz w:val="32"/>
          <w:szCs w:val="32"/>
        </w:rPr>
      </w:pPr>
      <w:r w:rsidRPr="002D68FD">
        <w:rPr>
          <w:rFonts w:ascii="仿宋_GB2312" w:eastAsia="仿宋_GB2312" w:hAnsi="仿宋" w:hint="eastAsia"/>
          <w:color w:val="000000" w:themeColor="text1"/>
          <w:sz w:val="32"/>
          <w:szCs w:val="32"/>
        </w:rPr>
        <w:t>电能量交易包括集中交易和双边协商交易两种方式。其中集中交易包括集中竞价交易、滚动撮合交易和挂牌交易三种形式。</w:t>
      </w:r>
    </w:p>
    <w:p w:rsidR="00C60152" w:rsidRPr="0078040E" w:rsidRDefault="002D68FD">
      <w:pPr>
        <w:autoSpaceDE w:val="0"/>
        <w:autoSpaceDN w:val="0"/>
        <w:adjustRightInd w:val="0"/>
        <w:ind w:firstLineChars="200" w:firstLine="640"/>
        <w:rPr>
          <w:rFonts w:ascii="仿宋_GB2312" w:eastAsia="仿宋_GB2312" w:hAnsi="仿宋"/>
          <w:color w:val="000000" w:themeColor="text1"/>
          <w:sz w:val="32"/>
          <w:szCs w:val="32"/>
        </w:rPr>
      </w:pPr>
      <w:r w:rsidRPr="002D68FD">
        <w:rPr>
          <w:rFonts w:ascii="仿宋_GB2312" w:eastAsia="仿宋_GB2312" w:hAnsi="仿宋" w:hint="eastAsia"/>
          <w:color w:val="000000" w:themeColor="text1"/>
          <w:sz w:val="32"/>
          <w:szCs w:val="32"/>
        </w:rPr>
        <w:t>集中竞价交易指设置交易报价提交截止时间，电力交易平台汇总市场主体提交的交易申报信息，按市场规则进行统一的市场出清，发布市场出清结果。</w:t>
      </w:r>
    </w:p>
    <w:p w:rsidR="008218D4" w:rsidRPr="0078040E" w:rsidRDefault="002D68FD">
      <w:pPr>
        <w:autoSpaceDE w:val="0"/>
        <w:autoSpaceDN w:val="0"/>
        <w:adjustRightInd w:val="0"/>
        <w:ind w:firstLineChars="200" w:firstLine="640"/>
        <w:rPr>
          <w:rFonts w:ascii="仿宋_GB2312" w:eastAsia="仿宋_GB2312" w:hAnsi="仿宋"/>
          <w:color w:val="000000" w:themeColor="text1"/>
          <w:sz w:val="32"/>
          <w:szCs w:val="32"/>
        </w:rPr>
      </w:pPr>
      <w:r w:rsidRPr="002D68FD">
        <w:rPr>
          <w:rFonts w:ascii="仿宋_GB2312" w:eastAsia="仿宋_GB2312" w:hAnsi="仿宋" w:hint="eastAsia"/>
          <w:color w:val="000000" w:themeColor="text1"/>
          <w:sz w:val="32"/>
          <w:szCs w:val="32"/>
        </w:rPr>
        <w:t>滚动撮合交易是指在规定的交易起止时间内，市场主体可以随时提交购电或售电信息，电力交易平台按时间优先、价格优先的原则进行滚动撮合成交。</w:t>
      </w:r>
    </w:p>
    <w:p w:rsidR="00C60152" w:rsidRPr="0078040E" w:rsidRDefault="002D68FD">
      <w:pPr>
        <w:autoSpaceDE w:val="0"/>
        <w:autoSpaceDN w:val="0"/>
        <w:adjustRightInd w:val="0"/>
        <w:ind w:firstLineChars="200" w:firstLine="640"/>
        <w:rPr>
          <w:rFonts w:ascii="仿宋_GB2312" w:eastAsia="仿宋_GB2312" w:hAnsi="仿宋"/>
          <w:color w:val="000000" w:themeColor="text1"/>
          <w:sz w:val="32"/>
          <w:szCs w:val="32"/>
        </w:rPr>
      </w:pPr>
      <w:r w:rsidRPr="002D68FD">
        <w:rPr>
          <w:rFonts w:ascii="仿宋_GB2312" w:eastAsia="仿宋_GB2312" w:hAnsi="仿宋" w:hint="eastAsia"/>
          <w:color w:val="000000" w:themeColor="text1"/>
          <w:sz w:val="32"/>
          <w:szCs w:val="32"/>
        </w:rPr>
        <w:t>挂牌交易指市场主体通过电力交易平台，将需求电量或可供电量的数量和价格等信息对外发布要约，由符合资格要求的另一方提出接受该要约的申请。</w:t>
      </w:r>
    </w:p>
    <w:p w:rsidR="00740CDD" w:rsidRPr="0078040E" w:rsidRDefault="002D68FD" w:rsidP="00684C34">
      <w:pPr>
        <w:numPr>
          <w:ilvl w:val="0"/>
          <w:numId w:val="1"/>
        </w:numPr>
        <w:rPr>
          <w:rFonts w:ascii="仿宋_GB2312" w:eastAsia="仿宋_GB2312" w:hAnsi="仿宋"/>
          <w:color w:val="000000" w:themeColor="text1"/>
          <w:sz w:val="32"/>
          <w:szCs w:val="32"/>
        </w:rPr>
      </w:pPr>
      <w:r w:rsidRPr="002D68FD">
        <w:rPr>
          <w:rFonts w:ascii="仿宋_GB2312" w:eastAsia="仿宋_GB2312" w:hAnsi="仿宋" w:hint="eastAsia"/>
          <w:color w:val="000000" w:themeColor="text1"/>
          <w:sz w:val="32"/>
          <w:szCs w:val="32"/>
        </w:rPr>
        <w:t>以双边协商和滚动撮合形式开展的电力中长期交易鼓励连续开市，以集中竞价交易形式开展的电力中长期交易应当实现定期开市。双边合同在双边交易截止时间前均可提交或修改。</w:t>
      </w:r>
    </w:p>
    <w:p w:rsidR="00EA371C" w:rsidRPr="0078040E" w:rsidRDefault="002D68FD" w:rsidP="00180CBF">
      <w:pPr>
        <w:numPr>
          <w:ilvl w:val="0"/>
          <w:numId w:val="1"/>
        </w:numPr>
        <w:rPr>
          <w:rFonts w:ascii="仿宋_GB2312" w:eastAsia="仿宋_GB2312" w:hAnsi="仿宋"/>
          <w:color w:val="000000" w:themeColor="text1"/>
          <w:sz w:val="32"/>
          <w:szCs w:val="32"/>
        </w:rPr>
      </w:pPr>
      <w:r w:rsidRPr="002D68FD">
        <w:rPr>
          <w:rFonts w:ascii="仿宋_GB2312" w:eastAsia="仿宋_GB2312" w:hAnsi="仿宋" w:hint="eastAsia"/>
          <w:color w:val="000000" w:themeColor="text1"/>
          <w:sz w:val="32"/>
          <w:szCs w:val="32"/>
        </w:rPr>
        <w:t>同一市场主体可根据自身电力生产或消费需要，购入或售出电能量。</w:t>
      </w:r>
    </w:p>
    <w:p w:rsidR="006071A4" w:rsidRPr="0078040E" w:rsidRDefault="002D68FD" w:rsidP="00A634E9">
      <w:pPr>
        <w:pStyle w:val="af1"/>
        <w:autoSpaceDE w:val="0"/>
        <w:autoSpaceDN w:val="0"/>
        <w:adjustRightInd w:val="0"/>
        <w:spacing w:line="560" w:lineRule="exact"/>
        <w:ind w:left="85" w:firstLineChars="200" w:firstLine="640"/>
        <w:jc w:val="both"/>
        <w:rPr>
          <w:rFonts w:ascii="仿宋_GB2312" w:eastAsia="仿宋_GB2312" w:hAnsi="仿宋"/>
          <w:color w:val="000000" w:themeColor="text1"/>
          <w:sz w:val="32"/>
          <w:szCs w:val="32"/>
        </w:rPr>
      </w:pPr>
      <w:r w:rsidRPr="002D68FD">
        <w:rPr>
          <w:rFonts w:ascii="仿宋_GB2312" w:eastAsia="仿宋_GB2312" w:hAnsi="仿宋" w:hint="eastAsia"/>
          <w:color w:val="000000" w:themeColor="text1"/>
          <w:sz w:val="32"/>
          <w:szCs w:val="32"/>
        </w:rPr>
        <w:t>为降低市场操纵风险，发电企业在单笔电力交易中的售电量不得超过其剩余最大发电能力，购电量不得超过其售出</w:t>
      </w:r>
      <w:r w:rsidRPr="002D68FD">
        <w:rPr>
          <w:rFonts w:ascii="仿宋_GB2312" w:eastAsia="仿宋_GB2312" w:hAnsi="仿宋" w:hint="eastAsia"/>
          <w:color w:val="000000" w:themeColor="text1"/>
          <w:sz w:val="32"/>
          <w:szCs w:val="32"/>
        </w:rPr>
        <w:lastRenderedPageBreak/>
        <w:t>电能量的净值（指多次售出、购入相互抵消后的净售电量）。电力用户和售电公司在单笔电力交易中的售电量不得超过其购入电能量的净值（指多次购入、售出相互抵消后的净购电量）。</w:t>
      </w:r>
    </w:p>
    <w:p w:rsidR="00C60152" w:rsidRPr="0078040E" w:rsidRDefault="002D68FD" w:rsidP="00A308DA">
      <w:pPr>
        <w:pStyle w:val="af1"/>
        <w:autoSpaceDE w:val="0"/>
        <w:autoSpaceDN w:val="0"/>
        <w:adjustRightInd w:val="0"/>
        <w:spacing w:line="560" w:lineRule="exact"/>
        <w:ind w:firstLineChars="200" w:firstLine="640"/>
        <w:jc w:val="both"/>
        <w:rPr>
          <w:rFonts w:ascii="仿宋_GB2312" w:eastAsia="仿宋_GB2312" w:hAnsi="仿宋"/>
          <w:color w:val="000000" w:themeColor="text1"/>
          <w:sz w:val="32"/>
          <w:szCs w:val="32"/>
        </w:rPr>
      </w:pPr>
      <w:r w:rsidRPr="002D68FD">
        <w:rPr>
          <w:rFonts w:ascii="仿宋_GB2312" w:eastAsia="仿宋_GB2312" w:hAnsi="仿宋" w:hint="eastAsia"/>
          <w:color w:val="000000" w:themeColor="text1"/>
          <w:sz w:val="32"/>
          <w:szCs w:val="32"/>
        </w:rPr>
        <w:t>除电网安全约束外，不得限制发电企业在自身发电能力范围内的交易电量申报；发电权交易应当遵循购售双方的意愿，不得人为设置条件，原则上鼓励清洁、高效机组替代低效机组发电。</w:t>
      </w:r>
    </w:p>
    <w:p w:rsidR="00A5740C" w:rsidRPr="0078040E" w:rsidRDefault="002D68FD" w:rsidP="00DC05E3">
      <w:pPr>
        <w:pStyle w:val="af1"/>
        <w:numPr>
          <w:ilvl w:val="0"/>
          <w:numId w:val="1"/>
        </w:numPr>
        <w:autoSpaceDE w:val="0"/>
        <w:autoSpaceDN w:val="0"/>
        <w:adjustRightInd w:val="0"/>
        <w:spacing w:line="560" w:lineRule="exact"/>
        <w:jc w:val="both"/>
        <w:rPr>
          <w:rFonts w:ascii="仿宋_GB2312" w:eastAsia="仿宋_GB2312" w:hAnsi="仿宋"/>
          <w:color w:val="000000" w:themeColor="text1"/>
          <w:sz w:val="32"/>
          <w:szCs w:val="32"/>
        </w:rPr>
      </w:pPr>
      <w:r w:rsidRPr="002D68FD">
        <w:rPr>
          <w:rFonts w:ascii="仿宋_GB2312" w:eastAsia="仿宋_GB2312" w:hAnsi="仿宋" w:hint="eastAsia"/>
          <w:color w:val="000000" w:themeColor="text1"/>
          <w:sz w:val="32"/>
          <w:szCs w:val="32"/>
        </w:rPr>
        <w:t>在优先安排优先发电合同输电容量的前提下，鼓励发电企业、电力用户、售电公司利用剩余输电容量直接进行跨区跨省交易。</w:t>
      </w:r>
    </w:p>
    <w:p w:rsidR="00000000" w:rsidRDefault="002D68FD">
      <w:pPr>
        <w:pStyle w:val="af1"/>
        <w:autoSpaceDE w:val="0"/>
        <w:autoSpaceDN w:val="0"/>
        <w:adjustRightInd w:val="0"/>
        <w:spacing w:line="560" w:lineRule="exact"/>
        <w:ind w:left="85" w:firstLineChars="200" w:firstLine="640"/>
        <w:jc w:val="both"/>
        <w:rPr>
          <w:rFonts w:ascii="仿宋_GB2312" w:eastAsia="仿宋_GB2312" w:hAnsi="仿宋"/>
          <w:color w:val="000000" w:themeColor="text1"/>
          <w:sz w:val="32"/>
          <w:szCs w:val="32"/>
          <w:u w:val="thick"/>
        </w:rPr>
      </w:pPr>
      <w:r w:rsidRPr="002D68FD">
        <w:rPr>
          <w:rFonts w:ascii="仿宋_GB2312" w:eastAsia="仿宋_GB2312" w:hAnsi="仿宋" w:hint="eastAsia"/>
          <w:color w:val="000000" w:themeColor="text1"/>
          <w:sz w:val="32"/>
          <w:szCs w:val="32"/>
        </w:rPr>
        <w:t>跨区跨省交易可以在区域交易平台开展，也可以在相关省交易平台开展；点对网专线输电的发电机组（含网对网专线输电但明确配套发电机组的情况）视同为受电地区发电机组，纳入受电地区电力电量平衡，根据受电地区发电计划放开情况参与受电地区电力市场化。</w:t>
      </w:r>
    </w:p>
    <w:p w:rsidR="00F72D93" w:rsidRPr="0078040E" w:rsidRDefault="002D68FD" w:rsidP="00F72D93">
      <w:pPr>
        <w:pStyle w:val="af1"/>
        <w:numPr>
          <w:ilvl w:val="0"/>
          <w:numId w:val="1"/>
        </w:numPr>
        <w:autoSpaceDE w:val="0"/>
        <w:autoSpaceDN w:val="0"/>
        <w:adjustRightInd w:val="0"/>
        <w:spacing w:line="560" w:lineRule="exact"/>
        <w:jc w:val="both"/>
        <w:rPr>
          <w:rFonts w:ascii="仿宋_GB2312" w:eastAsia="仿宋_GB2312" w:hAnsi="仿宋"/>
          <w:color w:val="000000" w:themeColor="text1"/>
          <w:sz w:val="32"/>
          <w:szCs w:val="32"/>
        </w:rPr>
      </w:pPr>
      <w:r w:rsidRPr="002D68FD">
        <w:rPr>
          <w:rFonts w:ascii="仿宋_GB2312" w:eastAsia="仿宋_GB2312" w:hAnsi="仿宋" w:hint="eastAsia"/>
          <w:color w:val="000000" w:themeColor="text1"/>
          <w:sz w:val="32"/>
          <w:szCs w:val="32"/>
        </w:rPr>
        <w:t>对于未来电力供应存在短缺风险的地区，可探索建立容量市场，保障长期电力供应安全。对于燃煤机组利用小时严重偏低的省份，可建立容量补偿机制。</w:t>
      </w:r>
    </w:p>
    <w:bookmarkEnd w:id="17"/>
    <w:bookmarkEnd w:id="18"/>
    <w:p w:rsidR="00C60152" w:rsidRPr="0078040E" w:rsidRDefault="002D68FD">
      <w:pPr>
        <w:pStyle w:val="1"/>
        <w:spacing w:before="120" w:after="120" w:line="240" w:lineRule="auto"/>
        <w:jc w:val="center"/>
        <w:rPr>
          <w:rFonts w:ascii="仿宋_GB2312" w:eastAsia="仿宋_GB2312" w:hAnsi="仿宋"/>
          <w:color w:val="000000" w:themeColor="text1"/>
          <w:sz w:val="32"/>
          <w:szCs w:val="32"/>
        </w:rPr>
      </w:pPr>
      <w:r w:rsidRPr="002D68FD">
        <w:rPr>
          <w:rFonts w:ascii="仿宋_GB2312" w:eastAsia="仿宋_GB2312" w:hAnsi="仿宋"/>
          <w:color w:val="000000" w:themeColor="text1"/>
          <w:sz w:val="32"/>
          <w:szCs w:val="32"/>
        </w:rPr>
        <w:t>第五章 价格机制</w:t>
      </w:r>
    </w:p>
    <w:p w:rsidR="00C60152" w:rsidRPr="0078040E" w:rsidRDefault="002D68FD" w:rsidP="00180CBF">
      <w:pPr>
        <w:pStyle w:val="af1"/>
        <w:numPr>
          <w:ilvl w:val="0"/>
          <w:numId w:val="1"/>
        </w:numPr>
        <w:spacing w:line="560" w:lineRule="exact"/>
        <w:ind w:left="0" w:firstLineChars="200" w:firstLine="640"/>
        <w:jc w:val="both"/>
        <w:rPr>
          <w:rFonts w:ascii="仿宋_GB2312" w:eastAsia="仿宋_GB2312" w:hAnsi="仿宋"/>
          <w:color w:val="000000" w:themeColor="text1"/>
          <w:sz w:val="32"/>
          <w:szCs w:val="32"/>
        </w:rPr>
      </w:pPr>
      <w:r w:rsidRPr="002D68FD">
        <w:rPr>
          <w:rFonts w:ascii="仿宋_GB2312" w:eastAsia="仿宋_GB2312" w:hAnsi="仿宋" w:hint="eastAsia"/>
          <w:color w:val="000000" w:themeColor="text1"/>
          <w:sz w:val="32"/>
          <w:szCs w:val="32"/>
        </w:rPr>
        <w:t>除计划电量执行政府确定的价格外，电力中长期交易的成交价格应当由市场主体通过双边协商、集中交易等市场化方式形成，第三方不得干预。</w:t>
      </w:r>
    </w:p>
    <w:p w:rsidR="00DB1BFD" w:rsidRPr="0078040E" w:rsidRDefault="002D68FD" w:rsidP="00724873">
      <w:pPr>
        <w:pStyle w:val="af1"/>
        <w:autoSpaceDE w:val="0"/>
        <w:autoSpaceDN w:val="0"/>
        <w:adjustRightInd w:val="0"/>
        <w:spacing w:line="560" w:lineRule="exact"/>
        <w:ind w:firstLineChars="200" w:firstLine="640"/>
        <w:jc w:val="both"/>
        <w:rPr>
          <w:rFonts w:ascii="仿宋_GB2312" w:eastAsia="仿宋_GB2312" w:hAnsi="仿宋"/>
          <w:color w:val="000000" w:themeColor="text1"/>
          <w:sz w:val="32"/>
          <w:szCs w:val="32"/>
        </w:rPr>
      </w:pPr>
      <w:r w:rsidRPr="002D68FD">
        <w:rPr>
          <w:rFonts w:ascii="仿宋_GB2312" w:eastAsia="仿宋_GB2312" w:hAnsi="仿宋" w:hint="eastAsia"/>
          <w:color w:val="000000" w:themeColor="text1"/>
          <w:sz w:val="32"/>
          <w:szCs w:val="32"/>
        </w:rPr>
        <w:t>电能量市场化交易（含省内和跨区跨省）价格包括脱硫、</w:t>
      </w:r>
      <w:r w:rsidRPr="002D68FD">
        <w:rPr>
          <w:rFonts w:ascii="仿宋_GB2312" w:eastAsia="仿宋_GB2312" w:hAnsi="仿宋" w:hint="eastAsia"/>
          <w:color w:val="000000" w:themeColor="text1"/>
          <w:sz w:val="32"/>
          <w:szCs w:val="32"/>
        </w:rPr>
        <w:lastRenderedPageBreak/>
        <w:t>脱硝、除尘和超低排放电价。</w:t>
      </w:r>
    </w:p>
    <w:p w:rsidR="00C60152" w:rsidRPr="0078040E" w:rsidRDefault="002D68FD" w:rsidP="00180CBF">
      <w:pPr>
        <w:pStyle w:val="af1"/>
        <w:numPr>
          <w:ilvl w:val="0"/>
          <w:numId w:val="1"/>
        </w:numPr>
        <w:spacing w:line="560" w:lineRule="exact"/>
        <w:ind w:left="0" w:firstLineChars="200" w:firstLine="640"/>
        <w:jc w:val="both"/>
        <w:rPr>
          <w:rFonts w:ascii="仿宋_GB2312" w:eastAsia="仿宋_GB2312" w:hAnsi="仿宋"/>
          <w:color w:val="000000" w:themeColor="text1"/>
          <w:sz w:val="32"/>
          <w:szCs w:val="32"/>
        </w:rPr>
      </w:pPr>
      <w:r w:rsidRPr="002D68FD">
        <w:rPr>
          <w:rFonts w:ascii="仿宋_GB2312" w:eastAsia="仿宋_GB2312" w:hAnsi="仿宋" w:hint="eastAsia"/>
          <w:color w:val="000000" w:themeColor="text1"/>
          <w:sz w:val="32"/>
          <w:szCs w:val="32"/>
        </w:rPr>
        <w:t>因电网安全约束必须开启的机组，约束上电量超出其合同电量（含优先发电合同、基数电量合同、市场交易合同）的部分，执行政府批复的价格水平或价格机制；政府未确定价格水平或价格机制时，采用市场化机制确定价格。</w:t>
      </w:r>
    </w:p>
    <w:p w:rsidR="00C60152" w:rsidRPr="0078040E" w:rsidRDefault="002D68FD">
      <w:pPr>
        <w:pStyle w:val="af"/>
        <w:ind w:firstLine="640"/>
        <w:rPr>
          <w:rFonts w:ascii="仿宋_GB2312" w:eastAsia="仿宋_GB2312" w:hAnsi="仿宋"/>
          <w:color w:val="000000" w:themeColor="text1"/>
          <w:sz w:val="32"/>
          <w:szCs w:val="32"/>
        </w:rPr>
      </w:pPr>
      <w:r w:rsidRPr="002D68FD">
        <w:rPr>
          <w:rFonts w:ascii="仿宋_GB2312" w:eastAsia="仿宋_GB2312" w:hAnsi="仿宋" w:hint="eastAsia"/>
          <w:color w:val="000000" w:themeColor="text1"/>
          <w:sz w:val="32"/>
          <w:szCs w:val="32"/>
        </w:rPr>
        <w:t>新投产发电机组的调试电量按照调试电价政策进行结算。</w:t>
      </w:r>
    </w:p>
    <w:p w:rsidR="00C60152" w:rsidRPr="0078040E" w:rsidRDefault="002D68FD" w:rsidP="00180CBF">
      <w:pPr>
        <w:pStyle w:val="af1"/>
        <w:numPr>
          <w:ilvl w:val="0"/>
          <w:numId w:val="1"/>
        </w:numPr>
        <w:spacing w:line="560" w:lineRule="exact"/>
        <w:ind w:left="0" w:firstLineChars="200" w:firstLine="640"/>
        <w:jc w:val="both"/>
        <w:rPr>
          <w:rFonts w:ascii="仿宋_GB2312" w:eastAsia="仿宋_GB2312" w:hAnsi="仿宋"/>
          <w:color w:val="000000" w:themeColor="text1"/>
          <w:sz w:val="32"/>
          <w:szCs w:val="32"/>
        </w:rPr>
      </w:pPr>
      <w:r w:rsidRPr="002D68FD">
        <w:rPr>
          <w:rFonts w:ascii="仿宋_GB2312" w:eastAsia="仿宋_GB2312" w:hAnsi="仿宋" w:hint="eastAsia"/>
          <w:color w:val="000000" w:themeColor="text1"/>
          <w:sz w:val="32"/>
          <w:szCs w:val="32"/>
        </w:rPr>
        <w:t>市场用户的用电价格由电能量交易价格、输配电价格、政府性基金及附加</w:t>
      </w:r>
      <w:r w:rsidR="007138DF">
        <w:rPr>
          <w:rFonts w:ascii="仿宋_GB2312" w:eastAsia="仿宋_GB2312" w:hAnsi="仿宋" w:hint="eastAsia"/>
          <w:color w:val="000000" w:themeColor="text1"/>
          <w:sz w:val="32"/>
          <w:szCs w:val="32"/>
        </w:rPr>
        <w:t>、辅助服务费用</w:t>
      </w:r>
      <w:r w:rsidRPr="002D68FD">
        <w:rPr>
          <w:rFonts w:ascii="仿宋_GB2312" w:eastAsia="仿宋_GB2312" w:hAnsi="仿宋" w:hint="eastAsia"/>
          <w:color w:val="000000" w:themeColor="text1"/>
          <w:sz w:val="32"/>
          <w:szCs w:val="32"/>
        </w:rPr>
        <w:t>等构成</w:t>
      </w:r>
      <w:r w:rsidR="007138DF">
        <w:rPr>
          <w:rFonts w:ascii="仿宋_GB2312" w:eastAsia="仿宋_GB2312" w:hAnsi="仿宋" w:hint="eastAsia"/>
          <w:color w:val="000000" w:themeColor="text1"/>
          <w:sz w:val="32"/>
          <w:szCs w:val="32"/>
        </w:rPr>
        <w:t>，促进市场化用户公平承担系统责任</w:t>
      </w:r>
      <w:r w:rsidRPr="002D68FD">
        <w:rPr>
          <w:rFonts w:ascii="仿宋_GB2312" w:eastAsia="仿宋_GB2312" w:hAnsi="仿宋" w:hint="eastAsia"/>
          <w:color w:val="000000" w:themeColor="text1"/>
          <w:sz w:val="32"/>
          <w:szCs w:val="32"/>
        </w:rPr>
        <w:t>。输配电价格、政府性基金及附加按照国家有关规定执行。</w:t>
      </w:r>
    </w:p>
    <w:p w:rsidR="00C60152" w:rsidRPr="0078040E" w:rsidRDefault="002D68FD" w:rsidP="00180CBF">
      <w:pPr>
        <w:pStyle w:val="af1"/>
        <w:numPr>
          <w:ilvl w:val="0"/>
          <w:numId w:val="1"/>
        </w:numPr>
        <w:spacing w:line="560" w:lineRule="exact"/>
        <w:ind w:left="0" w:firstLineChars="200" w:firstLine="640"/>
        <w:jc w:val="both"/>
        <w:rPr>
          <w:rFonts w:ascii="仿宋_GB2312" w:eastAsia="仿宋_GB2312" w:hAnsi="仿宋"/>
          <w:color w:val="000000" w:themeColor="text1"/>
          <w:sz w:val="32"/>
          <w:szCs w:val="32"/>
        </w:rPr>
      </w:pPr>
      <w:r w:rsidRPr="002D68FD">
        <w:rPr>
          <w:rFonts w:ascii="仿宋_GB2312" w:eastAsia="仿宋_GB2312" w:hAnsi="仿宋" w:hint="eastAsia"/>
          <w:color w:val="000000" w:themeColor="text1"/>
          <w:sz w:val="32"/>
          <w:szCs w:val="32"/>
        </w:rPr>
        <w:t>集中交易价格机制具体由各地区市场规则确定。其中，集中竞价交易可采用边际出清或高低匹配等价格形成机制；滚动撮合交易可采用滚动报价、撮合成交的价格形成机制；挂牌交易采用一方挂牌、摘牌成交的价格形成机制。</w:t>
      </w:r>
    </w:p>
    <w:p w:rsidR="00717538" w:rsidRPr="0078040E" w:rsidRDefault="002D68FD" w:rsidP="00180CBF">
      <w:pPr>
        <w:pStyle w:val="af1"/>
        <w:numPr>
          <w:ilvl w:val="0"/>
          <w:numId w:val="1"/>
        </w:numPr>
        <w:spacing w:line="560" w:lineRule="exact"/>
        <w:jc w:val="both"/>
        <w:rPr>
          <w:rFonts w:ascii="仿宋_GB2312" w:eastAsia="仿宋_GB2312" w:hAnsi="仿宋"/>
          <w:color w:val="000000" w:themeColor="text1"/>
          <w:sz w:val="32"/>
          <w:szCs w:val="32"/>
        </w:rPr>
      </w:pPr>
      <w:r w:rsidRPr="002D68FD">
        <w:rPr>
          <w:rFonts w:ascii="仿宋_GB2312" w:eastAsia="仿宋_GB2312" w:hAnsi="仿宋" w:hint="eastAsia"/>
          <w:color w:val="000000" w:themeColor="text1"/>
          <w:sz w:val="32"/>
          <w:szCs w:val="32"/>
        </w:rPr>
        <w:t>在送电侧开展的跨区跨省交易，受电地区落地价格由电能量交易价格（送电价格）、输电价格（费用）、线损电价构成。在受电侧开展的跨区跨省交易，送电地区上网电价为电能量交易价格（落地价格）扣除输电价格（费用）、线损电价后的价格。</w:t>
      </w:r>
    </w:p>
    <w:p w:rsidR="00C60152" w:rsidRPr="0078040E" w:rsidRDefault="002D68FD" w:rsidP="00A634E9">
      <w:pPr>
        <w:pStyle w:val="af1"/>
        <w:spacing w:line="560" w:lineRule="exact"/>
        <w:ind w:left="85" w:firstLineChars="200" w:firstLine="640"/>
        <w:jc w:val="both"/>
        <w:rPr>
          <w:rFonts w:ascii="仿宋_GB2312" w:eastAsia="仿宋_GB2312" w:hAnsi="仿宋"/>
          <w:color w:val="000000" w:themeColor="text1"/>
          <w:sz w:val="32"/>
          <w:szCs w:val="32"/>
        </w:rPr>
      </w:pPr>
      <w:r w:rsidRPr="002D68FD">
        <w:rPr>
          <w:rFonts w:ascii="仿宋_GB2312" w:eastAsia="仿宋_GB2312" w:hAnsi="仿宋" w:hint="eastAsia"/>
          <w:color w:val="000000" w:themeColor="text1"/>
          <w:sz w:val="32"/>
          <w:szCs w:val="32"/>
        </w:rPr>
        <w:t>线损电价在输电价格中已明确包含的，不再单独收取；未明确的，按政府价格主管部门核定的输电损耗率计算；政</w:t>
      </w:r>
      <w:r w:rsidRPr="002D68FD">
        <w:rPr>
          <w:rFonts w:ascii="仿宋_GB2312" w:eastAsia="仿宋_GB2312" w:hAnsi="仿宋" w:hint="eastAsia"/>
          <w:color w:val="000000" w:themeColor="text1"/>
          <w:sz w:val="32"/>
          <w:szCs w:val="32"/>
        </w:rPr>
        <w:lastRenderedPageBreak/>
        <w:t>府价格主管部门未核定输电损耗率的，暂按该输电通道前三年输电损耗率的平均值计算并报国家发展改革委、国家能源局备案后执行。线损电费原则上由买方承担；经协商一致，也可由卖方或者买卖双方共同承担。</w:t>
      </w:r>
    </w:p>
    <w:p w:rsidR="008427A1" w:rsidRPr="0078040E" w:rsidRDefault="002D68FD" w:rsidP="00180CBF">
      <w:pPr>
        <w:pStyle w:val="af1"/>
        <w:numPr>
          <w:ilvl w:val="0"/>
          <w:numId w:val="1"/>
        </w:numPr>
        <w:spacing w:line="560" w:lineRule="exact"/>
        <w:jc w:val="both"/>
        <w:rPr>
          <w:rFonts w:ascii="仿宋_GB2312" w:eastAsia="仿宋_GB2312" w:hAnsi="仿宋"/>
          <w:color w:val="000000" w:themeColor="text1"/>
          <w:sz w:val="32"/>
          <w:szCs w:val="20"/>
        </w:rPr>
      </w:pPr>
      <w:r w:rsidRPr="002D68FD">
        <w:rPr>
          <w:rFonts w:ascii="仿宋_GB2312" w:eastAsia="仿宋_GB2312" w:hAnsi="仿宋" w:hint="eastAsia"/>
          <w:color w:val="000000" w:themeColor="text1"/>
          <w:sz w:val="32"/>
          <w:szCs w:val="20"/>
        </w:rPr>
        <w:t>执行峰谷电价的用户，在参加市场化交易后应当继续执行峰谷电价。</w:t>
      </w:r>
    </w:p>
    <w:p w:rsidR="00C60152" w:rsidRPr="0078040E" w:rsidRDefault="002D68FD" w:rsidP="00180CBF">
      <w:pPr>
        <w:pStyle w:val="af1"/>
        <w:numPr>
          <w:ilvl w:val="0"/>
          <w:numId w:val="1"/>
        </w:numPr>
        <w:spacing w:line="560" w:lineRule="exact"/>
        <w:ind w:left="0"/>
        <w:jc w:val="both"/>
        <w:rPr>
          <w:rFonts w:ascii="仿宋_GB2312" w:eastAsia="仿宋_GB2312" w:hAnsi="仿宋"/>
          <w:color w:val="000000" w:themeColor="text1"/>
          <w:sz w:val="32"/>
          <w:szCs w:val="20"/>
        </w:rPr>
      </w:pPr>
      <w:r w:rsidRPr="002D68FD">
        <w:rPr>
          <w:rFonts w:ascii="仿宋_GB2312" w:eastAsia="仿宋_GB2312" w:hAnsi="仿宋" w:hint="eastAsia"/>
          <w:color w:val="000000" w:themeColor="text1"/>
          <w:sz w:val="32"/>
          <w:szCs w:val="32"/>
        </w:rPr>
        <w:t>除国家有明确规定的情况外，双边协商交易原则上不进行限价。集中竞价交易中，为避免市场操纵及恶性竞争，可对报价或者出清价格设置上、下限。</w:t>
      </w:r>
    </w:p>
    <w:p w:rsidR="00C60152" w:rsidRPr="0078040E" w:rsidRDefault="002D68FD">
      <w:pPr>
        <w:pStyle w:val="1"/>
        <w:spacing w:before="120" w:after="120" w:line="240" w:lineRule="auto"/>
        <w:jc w:val="center"/>
        <w:rPr>
          <w:rFonts w:ascii="仿宋_GB2312" w:eastAsia="仿宋_GB2312" w:hAnsi="仿宋"/>
          <w:b w:val="0"/>
          <w:color w:val="000000" w:themeColor="text1"/>
        </w:rPr>
      </w:pPr>
      <w:r w:rsidRPr="002D68FD">
        <w:rPr>
          <w:rFonts w:ascii="仿宋_GB2312" w:eastAsia="仿宋_GB2312" w:hAnsi="仿宋"/>
          <w:color w:val="000000" w:themeColor="text1"/>
          <w:sz w:val="32"/>
          <w:szCs w:val="32"/>
        </w:rPr>
        <w:t>第六章 交易组织</w:t>
      </w:r>
    </w:p>
    <w:p w:rsidR="00C60152" w:rsidRPr="0078040E" w:rsidRDefault="002D68FD">
      <w:pPr>
        <w:pStyle w:val="2"/>
        <w:spacing w:before="120" w:after="120" w:line="240" w:lineRule="auto"/>
        <w:jc w:val="center"/>
        <w:rPr>
          <w:rFonts w:ascii="仿宋_GB2312" w:eastAsia="仿宋_GB2312" w:hAnsi="仿宋"/>
          <w:b w:val="0"/>
          <w:color w:val="000000" w:themeColor="text1"/>
        </w:rPr>
      </w:pPr>
      <w:r w:rsidRPr="002D68FD">
        <w:rPr>
          <w:rFonts w:ascii="仿宋_GB2312" w:eastAsia="仿宋_GB2312" w:hAnsi="仿宋"/>
          <w:b w:val="0"/>
          <w:color w:val="000000" w:themeColor="text1"/>
        </w:rPr>
        <w:t>第一节 总则</w:t>
      </w:r>
    </w:p>
    <w:p w:rsidR="009E5057" w:rsidRPr="0078040E" w:rsidRDefault="002D68FD" w:rsidP="00180CBF">
      <w:pPr>
        <w:numPr>
          <w:ilvl w:val="0"/>
          <w:numId w:val="1"/>
        </w:numPr>
        <w:spacing w:line="560" w:lineRule="exact"/>
        <w:rPr>
          <w:rFonts w:ascii="仿宋_GB2312" w:eastAsia="仿宋_GB2312" w:hAnsi="仿宋"/>
          <w:color w:val="000000" w:themeColor="text1"/>
          <w:sz w:val="32"/>
          <w:szCs w:val="32"/>
        </w:rPr>
      </w:pPr>
      <w:r w:rsidRPr="002D68FD">
        <w:rPr>
          <w:rFonts w:ascii="仿宋_GB2312" w:eastAsia="仿宋_GB2312" w:hAnsi="仿宋" w:hint="eastAsia"/>
          <w:color w:val="000000" w:themeColor="text1"/>
          <w:sz w:val="32"/>
          <w:szCs w:val="32"/>
        </w:rPr>
        <w:t>政府部门应当在每年</w:t>
      </w:r>
      <w:r w:rsidRPr="002D68FD">
        <w:rPr>
          <w:rFonts w:ascii="仿宋_GB2312" w:eastAsia="仿宋_GB2312" w:hAnsi="仿宋"/>
          <w:color w:val="000000" w:themeColor="text1"/>
          <w:sz w:val="32"/>
          <w:szCs w:val="32"/>
        </w:rPr>
        <w:t>11月底之前确定并下达次年跨区跨省优先发电</w:t>
      </w:r>
      <w:r w:rsidRPr="002D68FD">
        <w:rPr>
          <w:rFonts w:ascii="仿宋_GB2312" w:eastAsia="仿宋_GB2312" w:hAnsi="仿宋" w:hint="eastAsia"/>
          <w:color w:val="000000" w:themeColor="text1"/>
          <w:sz w:val="32"/>
          <w:szCs w:val="32"/>
        </w:rPr>
        <w:t>计划、省内优先发计划和基数电量。各地按照年度（多年）、月度、月内（多日）的顺序开展电力交易。</w:t>
      </w:r>
    </w:p>
    <w:p w:rsidR="00C60152" w:rsidRPr="0078040E" w:rsidRDefault="002D68FD" w:rsidP="00180CBF">
      <w:pPr>
        <w:numPr>
          <w:ilvl w:val="0"/>
          <w:numId w:val="1"/>
        </w:numPr>
        <w:spacing w:line="560" w:lineRule="exact"/>
        <w:rPr>
          <w:rFonts w:ascii="仿宋_GB2312" w:eastAsia="仿宋_GB2312" w:hAnsi="仿宋"/>
          <w:color w:val="000000" w:themeColor="text1"/>
          <w:sz w:val="32"/>
          <w:szCs w:val="32"/>
        </w:rPr>
      </w:pPr>
      <w:r w:rsidRPr="002D68FD">
        <w:rPr>
          <w:rFonts w:ascii="仿宋_GB2312" w:eastAsia="仿宋_GB2312" w:hAnsi="仿宋" w:hint="eastAsia"/>
          <w:color w:val="000000" w:themeColor="text1"/>
          <w:sz w:val="32"/>
          <w:szCs w:val="32"/>
        </w:rPr>
        <w:t>市场主体通过年度（多年）交易、月度交易和月内（多日）等交易满足发用电需求，促进供需平衡。</w:t>
      </w:r>
    </w:p>
    <w:p w:rsidR="00C60152" w:rsidRPr="0078040E" w:rsidRDefault="002D68FD" w:rsidP="00180CBF">
      <w:pPr>
        <w:numPr>
          <w:ilvl w:val="0"/>
          <w:numId w:val="1"/>
        </w:numPr>
        <w:spacing w:line="560" w:lineRule="exact"/>
        <w:rPr>
          <w:rFonts w:ascii="仿宋_GB2312" w:eastAsia="仿宋_GB2312" w:hAnsi="仿宋"/>
          <w:color w:val="000000" w:themeColor="text1"/>
          <w:sz w:val="32"/>
          <w:szCs w:val="32"/>
        </w:rPr>
      </w:pPr>
      <w:r w:rsidRPr="002D68FD">
        <w:rPr>
          <w:rFonts w:ascii="仿宋_GB2312" w:eastAsia="仿宋_GB2312" w:hAnsi="仿宋" w:hint="eastAsia"/>
          <w:color w:val="000000" w:themeColor="text1"/>
          <w:sz w:val="32"/>
          <w:szCs w:val="32"/>
        </w:rPr>
        <w:t>对于定期开市和连续开市的交易，交易公告应当提前至少一个工作日发布；对不定期开市的交易，应当提前至少五个工作日发布。交易公告发布内容应当包括：</w:t>
      </w:r>
    </w:p>
    <w:p w:rsidR="00C60152" w:rsidRPr="0078040E" w:rsidRDefault="002D68FD">
      <w:pPr>
        <w:spacing w:line="560" w:lineRule="exact"/>
        <w:ind w:firstLineChars="200" w:firstLine="640"/>
        <w:rPr>
          <w:rFonts w:ascii="仿宋_GB2312" w:eastAsia="仿宋_GB2312" w:hAnsi="仿宋"/>
          <w:color w:val="000000" w:themeColor="text1"/>
          <w:sz w:val="32"/>
          <w:szCs w:val="32"/>
        </w:rPr>
      </w:pPr>
      <w:r w:rsidRPr="002D68FD">
        <w:rPr>
          <w:rFonts w:ascii="仿宋_GB2312" w:eastAsia="仿宋_GB2312" w:hAnsi="仿宋" w:hint="eastAsia"/>
          <w:color w:val="000000" w:themeColor="text1"/>
          <w:sz w:val="32"/>
          <w:szCs w:val="32"/>
        </w:rPr>
        <w:t>（一）交易标的（含电力、电量和交易周期）、申报起止时间；</w:t>
      </w:r>
    </w:p>
    <w:p w:rsidR="006F3CFA" w:rsidRPr="0078040E" w:rsidRDefault="002D68FD">
      <w:pPr>
        <w:spacing w:line="560" w:lineRule="exact"/>
        <w:ind w:firstLineChars="200" w:firstLine="640"/>
        <w:rPr>
          <w:rFonts w:ascii="仿宋_GB2312" w:eastAsia="仿宋_GB2312" w:hAnsi="仿宋"/>
          <w:color w:val="000000" w:themeColor="text1"/>
          <w:sz w:val="32"/>
          <w:szCs w:val="32"/>
        </w:rPr>
      </w:pPr>
      <w:r w:rsidRPr="002D68FD">
        <w:rPr>
          <w:rFonts w:ascii="仿宋_GB2312" w:eastAsia="仿宋_GB2312" w:hAnsi="仿宋" w:hint="eastAsia"/>
          <w:color w:val="000000" w:themeColor="text1"/>
          <w:sz w:val="32"/>
          <w:szCs w:val="32"/>
        </w:rPr>
        <w:t>（二）交易出清方式；</w:t>
      </w:r>
    </w:p>
    <w:p w:rsidR="00C60152" w:rsidRPr="0078040E" w:rsidRDefault="002D68FD">
      <w:pPr>
        <w:spacing w:line="560" w:lineRule="exact"/>
        <w:ind w:firstLineChars="200" w:firstLine="640"/>
        <w:rPr>
          <w:rFonts w:ascii="仿宋_GB2312" w:eastAsia="仿宋_GB2312" w:hAnsi="仿宋"/>
          <w:color w:val="000000" w:themeColor="text1"/>
          <w:sz w:val="32"/>
          <w:szCs w:val="32"/>
        </w:rPr>
      </w:pPr>
      <w:r w:rsidRPr="002D68FD">
        <w:rPr>
          <w:rFonts w:ascii="仿宋_GB2312" w:eastAsia="仿宋_GB2312" w:hAnsi="仿宋" w:hint="eastAsia"/>
          <w:color w:val="000000" w:themeColor="text1"/>
          <w:sz w:val="32"/>
          <w:szCs w:val="32"/>
        </w:rPr>
        <w:t>（三）价格形成机制；</w:t>
      </w:r>
    </w:p>
    <w:p w:rsidR="00D43E7D" w:rsidRPr="0078040E" w:rsidRDefault="002D68FD" w:rsidP="00D43E7D">
      <w:pPr>
        <w:spacing w:line="560" w:lineRule="exact"/>
        <w:ind w:firstLineChars="200" w:firstLine="640"/>
        <w:rPr>
          <w:rFonts w:ascii="仿宋_GB2312" w:eastAsia="仿宋_GB2312" w:hAnsi="仿宋"/>
          <w:color w:val="000000" w:themeColor="text1"/>
          <w:sz w:val="32"/>
          <w:szCs w:val="32"/>
        </w:rPr>
      </w:pPr>
      <w:r w:rsidRPr="002D68FD">
        <w:rPr>
          <w:rFonts w:ascii="仿宋_GB2312" w:eastAsia="仿宋_GB2312" w:hAnsi="仿宋" w:hint="eastAsia"/>
          <w:color w:val="000000" w:themeColor="text1"/>
          <w:sz w:val="32"/>
          <w:szCs w:val="32"/>
        </w:rPr>
        <w:lastRenderedPageBreak/>
        <w:t>（四）关键输电通道可用输电容量情况。</w:t>
      </w:r>
    </w:p>
    <w:p w:rsidR="00C60152" w:rsidRPr="0078040E" w:rsidRDefault="002D68FD" w:rsidP="00180CBF">
      <w:pPr>
        <w:numPr>
          <w:ilvl w:val="0"/>
          <w:numId w:val="1"/>
        </w:numPr>
        <w:spacing w:line="560" w:lineRule="exact"/>
        <w:rPr>
          <w:rFonts w:ascii="仿宋_GB2312" w:eastAsia="仿宋_GB2312" w:hAnsi="仿宋"/>
          <w:color w:val="000000" w:themeColor="text1"/>
          <w:sz w:val="32"/>
          <w:szCs w:val="32"/>
        </w:rPr>
      </w:pPr>
      <w:r w:rsidRPr="002D68FD">
        <w:rPr>
          <w:rFonts w:ascii="仿宋_GB2312" w:eastAsia="仿宋_GB2312" w:hAnsi="仿宋" w:hint="eastAsia"/>
          <w:color w:val="000000" w:themeColor="text1"/>
          <w:sz w:val="32"/>
          <w:szCs w:val="32"/>
        </w:rPr>
        <w:t>交易的限定条件必须事前在交易公告中明确，原则上在申报组织及出清过程中不得临时增加限定条件，确有必要的应当公开说明原因。</w:t>
      </w:r>
    </w:p>
    <w:p w:rsidR="00C60152" w:rsidRPr="0078040E" w:rsidRDefault="002D68FD" w:rsidP="00180CBF">
      <w:pPr>
        <w:numPr>
          <w:ilvl w:val="0"/>
          <w:numId w:val="1"/>
        </w:numPr>
        <w:spacing w:line="560" w:lineRule="exact"/>
        <w:rPr>
          <w:rFonts w:ascii="仿宋_GB2312" w:eastAsia="仿宋_GB2312" w:hAnsi="仿宋"/>
          <w:color w:val="000000" w:themeColor="text1"/>
          <w:sz w:val="32"/>
          <w:szCs w:val="32"/>
        </w:rPr>
      </w:pPr>
      <w:r w:rsidRPr="002D68FD">
        <w:rPr>
          <w:rFonts w:ascii="仿宋_GB2312" w:eastAsia="仿宋_GB2312" w:hAnsi="仿宋" w:hint="eastAsia"/>
          <w:color w:val="000000" w:themeColor="text1"/>
          <w:sz w:val="32"/>
          <w:szCs w:val="32"/>
        </w:rPr>
        <w:t>电力交易机构基于电力调度机构提供的安全约束条件开展电力交易出清。</w:t>
      </w:r>
    </w:p>
    <w:p w:rsidR="00C60152" w:rsidRPr="0078040E" w:rsidRDefault="002D68FD" w:rsidP="00180CBF">
      <w:pPr>
        <w:numPr>
          <w:ilvl w:val="0"/>
          <w:numId w:val="1"/>
        </w:numPr>
        <w:spacing w:line="560" w:lineRule="exact"/>
        <w:rPr>
          <w:rFonts w:ascii="仿宋_GB2312" w:eastAsia="仿宋_GB2312" w:hAnsi="仿宋"/>
          <w:color w:val="000000" w:themeColor="text1"/>
          <w:sz w:val="32"/>
          <w:szCs w:val="32"/>
        </w:rPr>
      </w:pPr>
      <w:r w:rsidRPr="002D68FD">
        <w:rPr>
          <w:rFonts w:ascii="仿宋_GB2312" w:eastAsia="仿宋_GB2312" w:hAnsi="仿宋" w:hint="eastAsia"/>
          <w:color w:val="000000" w:themeColor="text1"/>
          <w:sz w:val="32"/>
          <w:szCs w:val="32"/>
        </w:rPr>
        <w:t>对于签订市场化交易合同的机组，分配基数电量时原则上不再进行容量剔除。</w:t>
      </w:r>
    </w:p>
    <w:p w:rsidR="00000000" w:rsidRDefault="002D68FD">
      <w:pPr>
        <w:numPr>
          <w:ilvl w:val="0"/>
          <w:numId w:val="1"/>
        </w:numPr>
        <w:rPr>
          <w:rFonts w:ascii="仿宋_GB2312" w:eastAsia="仿宋_GB2312" w:hAnsi="仿宋"/>
          <w:color w:val="000000" w:themeColor="text1"/>
          <w:sz w:val="32"/>
          <w:szCs w:val="32"/>
        </w:rPr>
      </w:pPr>
      <w:r w:rsidRPr="002D68FD">
        <w:rPr>
          <w:rFonts w:ascii="仿宋_GB2312" w:eastAsia="仿宋_GB2312" w:hAnsi="仿宋" w:hint="eastAsia"/>
          <w:color w:val="000000" w:themeColor="text1"/>
          <w:sz w:val="32"/>
          <w:szCs w:val="32"/>
        </w:rPr>
        <w:t>各电力交易机构负责组织开展可再生能源电力相关交易，指导参与电力交易的承担消纳责任的市场主体优先完成可再生能源电力消纳相应的电力交易，在中长期电力交易合同审核、电力交易信息公布等环节对承担消纳责任的市场主体给予提醒。各承担消纳责任的市场主体参与电力市场交易时，应当向电力交易机构作出履行可再生能源电力消纳责任的承诺。</w:t>
      </w:r>
    </w:p>
    <w:p w:rsidR="00C60152" w:rsidRPr="0078040E" w:rsidRDefault="002D68FD">
      <w:pPr>
        <w:pStyle w:val="2"/>
        <w:spacing w:before="120" w:after="120" w:line="240" w:lineRule="auto"/>
        <w:jc w:val="center"/>
        <w:rPr>
          <w:rFonts w:ascii="仿宋_GB2312" w:eastAsia="仿宋_GB2312" w:hAnsi="仿宋"/>
          <w:b w:val="0"/>
          <w:color w:val="000000" w:themeColor="text1"/>
        </w:rPr>
      </w:pPr>
      <w:bookmarkStart w:id="19" w:name="_Toc430684130"/>
      <w:bookmarkStart w:id="20" w:name="OLE_LINK13"/>
      <w:r w:rsidRPr="002D68FD">
        <w:rPr>
          <w:rFonts w:ascii="仿宋_GB2312" w:eastAsia="仿宋_GB2312" w:hAnsi="仿宋"/>
          <w:b w:val="0"/>
          <w:color w:val="000000" w:themeColor="text1"/>
        </w:rPr>
        <w:t>第二节 年度（多年）交易</w:t>
      </w:r>
      <w:bookmarkEnd w:id="19"/>
    </w:p>
    <w:bookmarkEnd w:id="20"/>
    <w:p w:rsidR="00C60152" w:rsidRPr="0078040E" w:rsidRDefault="002D68FD" w:rsidP="00180CBF">
      <w:pPr>
        <w:pStyle w:val="af1"/>
        <w:numPr>
          <w:ilvl w:val="0"/>
          <w:numId w:val="1"/>
        </w:numPr>
        <w:spacing w:line="560" w:lineRule="exact"/>
        <w:jc w:val="both"/>
        <w:rPr>
          <w:rFonts w:ascii="仿宋_GB2312" w:eastAsia="仿宋_GB2312" w:hAnsi="仿宋"/>
          <w:color w:val="000000" w:themeColor="text1"/>
          <w:sz w:val="32"/>
          <w:szCs w:val="32"/>
        </w:rPr>
      </w:pPr>
      <w:r w:rsidRPr="002D68FD">
        <w:rPr>
          <w:rFonts w:ascii="仿宋_GB2312" w:eastAsia="仿宋_GB2312" w:hAnsi="仿宋" w:hint="eastAsia"/>
          <w:color w:val="000000" w:themeColor="text1"/>
          <w:sz w:val="32"/>
          <w:szCs w:val="32"/>
        </w:rPr>
        <w:t>年度（多年）交易的标的物为次年（多年）的电量（或年度分时电量）。年度（多年）交易可通过双边协商或集中交易的方式开展。</w:t>
      </w:r>
    </w:p>
    <w:p w:rsidR="00C60152" w:rsidRPr="0078040E" w:rsidRDefault="002D68FD" w:rsidP="00180CBF">
      <w:pPr>
        <w:numPr>
          <w:ilvl w:val="0"/>
          <w:numId w:val="1"/>
        </w:numPr>
        <w:rPr>
          <w:rFonts w:ascii="仿宋_GB2312" w:eastAsia="仿宋_GB2312" w:hAnsi="仿宋"/>
          <w:color w:val="000000" w:themeColor="text1"/>
          <w:sz w:val="32"/>
          <w:szCs w:val="32"/>
        </w:rPr>
      </w:pPr>
      <w:r w:rsidRPr="002D68FD">
        <w:rPr>
          <w:rFonts w:ascii="仿宋_GB2312" w:eastAsia="仿宋_GB2312" w:hAnsi="仿宋" w:hint="eastAsia"/>
          <w:color w:val="000000" w:themeColor="text1"/>
          <w:sz w:val="32"/>
          <w:szCs w:val="32"/>
        </w:rPr>
        <w:t>市场主体经过双边协商形成的年度（多年）意向协议，需要在年度双边交易申报截止前，通过电力交易平台提交至电力交易机构。电力交易机构根据电力调度机构提供的关键通道年度可用输电容量，形成双边交易预成交结</w:t>
      </w:r>
      <w:r w:rsidRPr="002D68FD">
        <w:rPr>
          <w:rFonts w:ascii="仿宋_GB2312" w:eastAsia="仿宋_GB2312" w:hAnsi="仿宋" w:hint="eastAsia"/>
          <w:color w:val="000000" w:themeColor="text1"/>
          <w:sz w:val="32"/>
          <w:szCs w:val="32"/>
        </w:rPr>
        <w:lastRenderedPageBreak/>
        <w:t>果。</w:t>
      </w:r>
    </w:p>
    <w:p w:rsidR="00C60152" w:rsidRPr="0078040E" w:rsidRDefault="002D68FD" w:rsidP="00180CBF">
      <w:pPr>
        <w:pStyle w:val="af1"/>
        <w:numPr>
          <w:ilvl w:val="0"/>
          <w:numId w:val="1"/>
        </w:numPr>
        <w:spacing w:line="560" w:lineRule="exact"/>
        <w:jc w:val="both"/>
        <w:rPr>
          <w:rFonts w:ascii="仿宋_GB2312" w:eastAsia="仿宋_GB2312" w:hAnsi="仿宋"/>
          <w:color w:val="000000" w:themeColor="text1"/>
          <w:sz w:val="32"/>
          <w:szCs w:val="32"/>
        </w:rPr>
      </w:pPr>
      <w:r w:rsidRPr="002D68FD">
        <w:rPr>
          <w:rFonts w:ascii="仿宋_GB2312" w:eastAsia="仿宋_GB2312" w:hAnsi="仿宋" w:hint="eastAsia"/>
          <w:color w:val="000000" w:themeColor="text1"/>
          <w:sz w:val="32"/>
          <w:szCs w:val="32"/>
        </w:rPr>
        <w:t>采用集中交易方式开展年度（多年）交易时，发电企业、售电公司和电力用户在规定的报价时限内通过电力交易平台申报报价数据。电力交易机构根据电力调度机构提供的关键通道年度可用输电容量进行市场出清，形成集中交易预成交结果。</w:t>
      </w:r>
    </w:p>
    <w:p w:rsidR="00C60152" w:rsidRPr="0078040E" w:rsidRDefault="002D68FD" w:rsidP="00180CBF">
      <w:pPr>
        <w:pStyle w:val="af1"/>
        <w:numPr>
          <w:ilvl w:val="0"/>
          <w:numId w:val="1"/>
        </w:numPr>
        <w:spacing w:line="560" w:lineRule="exact"/>
        <w:jc w:val="both"/>
        <w:rPr>
          <w:rFonts w:ascii="仿宋_GB2312" w:eastAsia="仿宋_GB2312" w:hAnsi="仿宋"/>
          <w:color w:val="000000" w:themeColor="text1"/>
          <w:sz w:val="32"/>
          <w:szCs w:val="32"/>
        </w:rPr>
      </w:pPr>
      <w:r w:rsidRPr="002D68FD">
        <w:rPr>
          <w:rFonts w:ascii="仿宋_GB2312" w:eastAsia="仿宋_GB2312" w:hAnsi="仿宋" w:hint="eastAsia"/>
          <w:color w:val="000000" w:themeColor="text1"/>
          <w:sz w:val="32"/>
          <w:szCs w:val="32"/>
        </w:rPr>
        <w:t>年度交易结束后，电力交易机构汇总每类交易的预成交结果，并提交电力调度机构统一进行安全校核。电力调度机构在5个工作日内返回安全校核结果，由电力交易机构发布。安全校核越限时，由相关电力交易机构根据市场规则协同进行交易削减和调整。</w:t>
      </w:r>
    </w:p>
    <w:p w:rsidR="00C60152" w:rsidRPr="0078040E" w:rsidRDefault="002D68FD" w:rsidP="00180CBF">
      <w:pPr>
        <w:pStyle w:val="af1"/>
        <w:numPr>
          <w:ilvl w:val="0"/>
          <w:numId w:val="1"/>
        </w:numPr>
        <w:spacing w:line="560" w:lineRule="exact"/>
        <w:ind w:left="0" w:firstLineChars="200" w:firstLine="640"/>
        <w:jc w:val="both"/>
        <w:rPr>
          <w:rFonts w:ascii="仿宋_GB2312" w:eastAsia="仿宋_GB2312" w:hAnsi="仿宋"/>
          <w:color w:val="000000" w:themeColor="text1"/>
          <w:sz w:val="32"/>
          <w:szCs w:val="32"/>
        </w:rPr>
      </w:pPr>
      <w:r w:rsidRPr="002D68FD">
        <w:rPr>
          <w:rFonts w:ascii="仿宋_GB2312" w:eastAsia="仿宋_GB2312" w:hAnsi="仿宋" w:hint="eastAsia"/>
          <w:color w:val="000000" w:themeColor="text1"/>
          <w:sz w:val="32"/>
          <w:szCs w:val="32"/>
        </w:rPr>
        <w:t>市场主体对交易结果有异议的，应当在结果发布一个工作日内向电力交易机构提出，由电力交易机构会同电力调度机构在一个工作日内给予解释。逾期未提出异议的，电力交易平台自动确认成交。</w:t>
      </w:r>
    </w:p>
    <w:p w:rsidR="00C60152" w:rsidRPr="0078040E" w:rsidRDefault="002D68FD">
      <w:pPr>
        <w:pStyle w:val="2"/>
        <w:spacing w:before="120" w:after="120" w:line="240" w:lineRule="auto"/>
        <w:jc w:val="center"/>
        <w:rPr>
          <w:rFonts w:ascii="仿宋_GB2312" w:eastAsia="仿宋_GB2312" w:hAnsi="仿宋"/>
          <w:b w:val="0"/>
          <w:color w:val="000000" w:themeColor="text1"/>
        </w:rPr>
      </w:pPr>
      <w:bookmarkStart w:id="21" w:name="_Toc430684132"/>
      <w:r w:rsidRPr="002D68FD">
        <w:rPr>
          <w:rFonts w:ascii="仿宋_GB2312" w:eastAsia="仿宋_GB2312" w:hAnsi="仿宋" w:hint="eastAsia"/>
          <w:b w:val="0"/>
          <w:color w:val="000000" w:themeColor="text1"/>
        </w:rPr>
        <w:t>第三节</w:t>
      </w:r>
      <w:r w:rsidRPr="002D68FD">
        <w:rPr>
          <w:rFonts w:ascii="仿宋_GB2312" w:eastAsia="仿宋_GB2312" w:hAnsi="仿宋"/>
          <w:b w:val="0"/>
          <w:color w:val="000000" w:themeColor="text1"/>
        </w:rPr>
        <w:t xml:space="preserve"> </w:t>
      </w:r>
      <w:r w:rsidRPr="002D68FD">
        <w:rPr>
          <w:rFonts w:ascii="仿宋_GB2312" w:eastAsia="仿宋_GB2312" w:hAnsi="仿宋" w:hint="eastAsia"/>
          <w:b w:val="0"/>
          <w:color w:val="000000" w:themeColor="text1"/>
        </w:rPr>
        <w:t>月度交易</w:t>
      </w:r>
      <w:bookmarkEnd w:id="21"/>
    </w:p>
    <w:p w:rsidR="00C60152" w:rsidRPr="0078040E" w:rsidRDefault="002D68FD" w:rsidP="00180CBF">
      <w:pPr>
        <w:pStyle w:val="af1"/>
        <w:numPr>
          <w:ilvl w:val="0"/>
          <w:numId w:val="1"/>
        </w:numPr>
        <w:spacing w:line="560" w:lineRule="exact"/>
        <w:jc w:val="both"/>
        <w:rPr>
          <w:rFonts w:ascii="仿宋_GB2312" w:eastAsia="仿宋_GB2312" w:hAnsi="仿宋"/>
          <w:color w:val="000000" w:themeColor="text1"/>
          <w:sz w:val="32"/>
          <w:szCs w:val="32"/>
        </w:rPr>
      </w:pPr>
      <w:r w:rsidRPr="002D68FD">
        <w:rPr>
          <w:rFonts w:ascii="仿宋_GB2312" w:eastAsia="仿宋_GB2312" w:hAnsi="仿宋" w:hint="eastAsia"/>
          <w:color w:val="000000" w:themeColor="text1"/>
          <w:sz w:val="32"/>
          <w:szCs w:val="32"/>
        </w:rPr>
        <w:t>月度交易的标的物为次月电量（或月度分时电量），条件具备的地区可组织开展针对年度内剩余月份的月度电量（或月度分时电量）交易。月度交易可通过双边协商或集中交易的方式开展。</w:t>
      </w:r>
    </w:p>
    <w:p w:rsidR="00C60152" w:rsidRPr="0078040E" w:rsidRDefault="002D68FD" w:rsidP="00180CBF">
      <w:pPr>
        <w:pStyle w:val="af1"/>
        <w:numPr>
          <w:ilvl w:val="0"/>
          <w:numId w:val="1"/>
        </w:numPr>
        <w:spacing w:line="560" w:lineRule="exact"/>
        <w:jc w:val="both"/>
        <w:rPr>
          <w:rFonts w:ascii="仿宋_GB2312" w:eastAsia="仿宋_GB2312" w:hAnsi="仿宋"/>
          <w:color w:val="000000" w:themeColor="text1"/>
          <w:sz w:val="32"/>
          <w:szCs w:val="32"/>
        </w:rPr>
      </w:pPr>
      <w:r w:rsidRPr="002D68FD">
        <w:rPr>
          <w:rFonts w:ascii="仿宋_GB2312" w:eastAsia="仿宋_GB2312" w:hAnsi="仿宋" w:hint="eastAsia"/>
          <w:color w:val="000000" w:themeColor="text1"/>
          <w:sz w:val="32"/>
          <w:szCs w:val="32"/>
        </w:rPr>
        <w:t>市场主体经过双边协商形成的意向协议，需要在月度双边交易申报截止前，通过电力交易平台提交至电力交易机构。电力交易机构根据电力调度机构提供的关键通道月度可用输电容量，形成双边交易预成交结果。</w:t>
      </w:r>
    </w:p>
    <w:p w:rsidR="00C60152" w:rsidRPr="0078040E" w:rsidRDefault="002D68FD" w:rsidP="00180CBF">
      <w:pPr>
        <w:pStyle w:val="af1"/>
        <w:numPr>
          <w:ilvl w:val="0"/>
          <w:numId w:val="1"/>
        </w:numPr>
        <w:spacing w:line="560" w:lineRule="exact"/>
        <w:ind w:left="0"/>
        <w:jc w:val="both"/>
        <w:rPr>
          <w:rFonts w:ascii="仿宋_GB2312" w:eastAsia="仿宋_GB2312" w:hAnsi="仿宋"/>
          <w:color w:val="000000" w:themeColor="text1"/>
          <w:sz w:val="32"/>
          <w:szCs w:val="32"/>
        </w:rPr>
      </w:pPr>
      <w:r w:rsidRPr="002D68FD">
        <w:rPr>
          <w:rFonts w:ascii="仿宋_GB2312" w:eastAsia="仿宋_GB2312" w:hAnsi="仿宋" w:hint="eastAsia"/>
          <w:color w:val="000000" w:themeColor="text1"/>
          <w:sz w:val="32"/>
          <w:szCs w:val="32"/>
        </w:rPr>
        <w:lastRenderedPageBreak/>
        <w:t>采用集中交易方式开展月度交易时，发电企业、售电公司和电力用户在规定的报价时限内通过电力交易平台申报报价数据。电力交易机构根据电力调度机构提供的关键通道月度可用传输容量进行市场出清，形成集中交易预成交结果。</w:t>
      </w:r>
    </w:p>
    <w:p w:rsidR="00B603B8" w:rsidRPr="0078040E" w:rsidRDefault="002D68FD" w:rsidP="00180CBF">
      <w:pPr>
        <w:pStyle w:val="af1"/>
        <w:numPr>
          <w:ilvl w:val="0"/>
          <w:numId w:val="1"/>
        </w:numPr>
        <w:spacing w:line="560" w:lineRule="exact"/>
        <w:jc w:val="both"/>
        <w:rPr>
          <w:rFonts w:ascii="仿宋_GB2312" w:eastAsia="仿宋_GB2312" w:hAnsi="仿宋"/>
          <w:color w:val="000000" w:themeColor="text1"/>
          <w:sz w:val="32"/>
          <w:szCs w:val="32"/>
        </w:rPr>
      </w:pPr>
      <w:r w:rsidRPr="002D68FD">
        <w:rPr>
          <w:rFonts w:ascii="仿宋_GB2312" w:eastAsia="仿宋_GB2312" w:hAnsi="仿宋" w:hint="eastAsia"/>
          <w:color w:val="000000" w:themeColor="text1"/>
          <w:sz w:val="32"/>
          <w:szCs w:val="32"/>
        </w:rPr>
        <w:t>月度交易结束后，电力交易机构汇总每类交易的预成交结果，并提交给电力调度机构统一进行安全校核。电力调度机构在2个工作日内返回安全校核结果，由电力交易机构发布。安全校核越限时由相关电力交易机构根据市场规则协同进行交易削减和调整。</w:t>
      </w:r>
    </w:p>
    <w:p w:rsidR="00C60152" w:rsidRPr="0078040E" w:rsidRDefault="002D68FD" w:rsidP="00180CBF">
      <w:pPr>
        <w:pStyle w:val="af1"/>
        <w:numPr>
          <w:ilvl w:val="0"/>
          <w:numId w:val="1"/>
        </w:numPr>
        <w:spacing w:line="560" w:lineRule="exact"/>
        <w:jc w:val="both"/>
        <w:rPr>
          <w:rFonts w:ascii="仿宋_GB2312" w:eastAsia="仿宋_GB2312" w:hAnsi="仿宋"/>
          <w:color w:val="000000" w:themeColor="text1"/>
          <w:sz w:val="32"/>
          <w:szCs w:val="32"/>
        </w:rPr>
      </w:pPr>
      <w:bookmarkStart w:id="22" w:name="_Hlk18239870"/>
      <w:r w:rsidRPr="002D68FD">
        <w:rPr>
          <w:rFonts w:ascii="仿宋_GB2312" w:eastAsia="仿宋_GB2312" w:hAnsi="仿宋" w:hint="eastAsia"/>
          <w:color w:val="000000" w:themeColor="text1"/>
          <w:sz w:val="32"/>
          <w:szCs w:val="32"/>
        </w:rPr>
        <w:t>市场主体对交易结果有异议的，应当在结果发布一个工作日内向电力交易机构提出，由电力交易机构会同电力调度机构在一个工作日内给予解释</w:t>
      </w:r>
      <w:bookmarkEnd w:id="22"/>
      <w:r w:rsidRPr="002D68FD">
        <w:rPr>
          <w:rFonts w:ascii="仿宋_GB2312" w:eastAsia="仿宋_GB2312" w:hAnsi="仿宋" w:hint="eastAsia"/>
          <w:color w:val="000000" w:themeColor="text1"/>
          <w:sz w:val="32"/>
          <w:szCs w:val="32"/>
        </w:rPr>
        <w:t>。逾期未提出异议的，电力交易平台自动确认成交。</w:t>
      </w:r>
    </w:p>
    <w:p w:rsidR="00C60152" w:rsidRPr="0078040E" w:rsidRDefault="002D68FD" w:rsidP="00180CBF">
      <w:pPr>
        <w:pStyle w:val="af1"/>
        <w:numPr>
          <w:ilvl w:val="0"/>
          <w:numId w:val="1"/>
        </w:numPr>
        <w:spacing w:line="560" w:lineRule="exact"/>
        <w:ind w:firstLine="640"/>
        <w:jc w:val="both"/>
        <w:rPr>
          <w:rFonts w:ascii="仿宋_GB2312" w:eastAsia="仿宋_GB2312" w:hAnsi="仿宋"/>
          <w:color w:val="000000" w:themeColor="text1"/>
          <w:sz w:val="32"/>
          <w:szCs w:val="32"/>
        </w:rPr>
      </w:pPr>
      <w:r w:rsidRPr="002D68FD">
        <w:rPr>
          <w:rFonts w:ascii="仿宋_GB2312" w:eastAsia="仿宋_GB2312" w:hAnsi="仿宋" w:hint="eastAsia"/>
          <w:color w:val="000000" w:themeColor="text1"/>
          <w:sz w:val="32"/>
          <w:szCs w:val="32"/>
        </w:rPr>
        <w:t>电力交易机构应当根据经安全校核后的交易结果，对年度交易分月结果和月度交易结果进行汇总，于每月月底前发布汇总后的交易结果。</w:t>
      </w:r>
    </w:p>
    <w:p w:rsidR="00C60152" w:rsidRPr="0078040E" w:rsidRDefault="002D68FD">
      <w:pPr>
        <w:pStyle w:val="2"/>
        <w:spacing w:before="120" w:after="120" w:line="240" w:lineRule="auto"/>
        <w:jc w:val="center"/>
        <w:rPr>
          <w:rFonts w:ascii="仿宋_GB2312" w:eastAsia="仿宋_GB2312" w:hAnsi="仿宋"/>
          <w:b w:val="0"/>
          <w:color w:val="000000" w:themeColor="text1"/>
        </w:rPr>
      </w:pPr>
      <w:r w:rsidRPr="002D68FD">
        <w:rPr>
          <w:rFonts w:ascii="仿宋_GB2312" w:eastAsia="仿宋_GB2312" w:hAnsi="仿宋"/>
          <w:b w:val="0"/>
          <w:color w:val="000000" w:themeColor="text1"/>
        </w:rPr>
        <w:t>第四节 月内（多日）交易</w:t>
      </w:r>
    </w:p>
    <w:p w:rsidR="00C60152" w:rsidRPr="0078040E" w:rsidRDefault="002D68FD" w:rsidP="00180CBF">
      <w:pPr>
        <w:numPr>
          <w:ilvl w:val="0"/>
          <w:numId w:val="1"/>
        </w:numPr>
        <w:rPr>
          <w:rFonts w:ascii="仿宋_GB2312" w:eastAsia="仿宋_GB2312" w:hAnsi="仿宋"/>
          <w:color w:val="000000" w:themeColor="text1"/>
          <w:sz w:val="32"/>
          <w:szCs w:val="32"/>
        </w:rPr>
      </w:pPr>
      <w:r w:rsidRPr="002D68FD">
        <w:rPr>
          <w:rFonts w:ascii="仿宋_GB2312" w:eastAsia="仿宋_GB2312" w:hAnsi="仿宋" w:hint="eastAsia"/>
          <w:color w:val="000000" w:themeColor="text1"/>
          <w:sz w:val="32"/>
          <w:szCs w:val="32"/>
        </w:rPr>
        <w:t>月内（多日）交易的标的物为月内剩余天数或特定天数的电量（或分时电量）。月内交易主要以集中交易方式开展。根据交易标的物的不同，月内交易可定期开市或连续开市。</w:t>
      </w:r>
    </w:p>
    <w:p w:rsidR="00C60152" w:rsidRPr="0078040E" w:rsidRDefault="002D68FD" w:rsidP="00180CBF">
      <w:pPr>
        <w:pStyle w:val="af1"/>
        <w:numPr>
          <w:ilvl w:val="0"/>
          <w:numId w:val="1"/>
        </w:numPr>
        <w:spacing w:line="560" w:lineRule="exact"/>
        <w:jc w:val="both"/>
        <w:rPr>
          <w:rFonts w:ascii="仿宋_GB2312" w:eastAsia="仿宋_GB2312" w:hAnsi="仿宋"/>
          <w:color w:val="000000" w:themeColor="text1"/>
          <w:sz w:val="32"/>
          <w:szCs w:val="32"/>
        </w:rPr>
      </w:pPr>
      <w:r w:rsidRPr="002D68FD">
        <w:rPr>
          <w:rFonts w:ascii="仿宋_GB2312" w:eastAsia="仿宋_GB2312" w:hAnsi="仿宋" w:hint="eastAsia"/>
          <w:color w:val="000000" w:themeColor="text1"/>
          <w:sz w:val="32"/>
          <w:szCs w:val="32"/>
        </w:rPr>
        <w:t>月内集中交易中，发电企业、售电公司和</w:t>
      </w:r>
      <w:r w:rsidRPr="002D68FD">
        <w:rPr>
          <w:rFonts w:ascii="仿宋_GB2312" w:eastAsia="仿宋_GB2312" w:hAnsi="仿宋" w:hint="eastAsia"/>
          <w:color w:val="000000" w:themeColor="text1"/>
          <w:sz w:val="32"/>
          <w:szCs w:val="32"/>
        </w:rPr>
        <w:lastRenderedPageBreak/>
        <w:t>电力用户在规定的报价时限内通过电力交易平台申报报价数据。电力交易机构根据电力调度机构提供的关键通道月内可用输电容量进行市场出清，形成集中交易预成交结果。</w:t>
      </w:r>
    </w:p>
    <w:p w:rsidR="00C60152" w:rsidRPr="0078040E" w:rsidRDefault="002D68FD" w:rsidP="00180CBF">
      <w:pPr>
        <w:pStyle w:val="af1"/>
        <w:numPr>
          <w:ilvl w:val="0"/>
          <w:numId w:val="1"/>
        </w:numPr>
        <w:spacing w:line="560" w:lineRule="exact"/>
        <w:jc w:val="both"/>
        <w:rPr>
          <w:rFonts w:ascii="仿宋_GB2312" w:eastAsia="仿宋_GB2312" w:hAnsi="仿宋"/>
          <w:color w:val="000000" w:themeColor="text1"/>
          <w:sz w:val="32"/>
          <w:szCs w:val="32"/>
        </w:rPr>
      </w:pPr>
      <w:r w:rsidRPr="002D68FD">
        <w:rPr>
          <w:rFonts w:ascii="仿宋_GB2312" w:eastAsia="仿宋_GB2312" w:hAnsi="仿宋" w:hint="eastAsia"/>
          <w:color w:val="000000" w:themeColor="text1"/>
          <w:sz w:val="32"/>
          <w:szCs w:val="32"/>
        </w:rPr>
        <w:t>电力交易机构将月内集中交易的预成交结果提交给电力调度机构进行安全校核。电力调度机构应当在1个工作日之内返回安全校核结果，由电力交易机构发布。市场主体对交易结果有异议的，应当在结果发布一个工作日内向电力交易机构提出，由电力交易机构会同电力调度机构在一个工作日内给予解释。</w:t>
      </w:r>
    </w:p>
    <w:p w:rsidR="00C60152" w:rsidRPr="0078040E" w:rsidRDefault="002D68FD" w:rsidP="00180CBF">
      <w:pPr>
        <w:pStyle w:val="af1"/>
        <w:numPr>
          <w:ilvl w:val="0"/>
          <w:numId w:val="1"/>
        </w:numPr>
        <w:spacing w:line="560" w:lineRule="exact"/>
        <w:jc w:val="both"/>
        <w:rPr>
          <w:rFonts w:ascii="仿宋_GB2312" w:eastAsia="仿宋_GB2312" w:hAnsi="仿宋"/>
          <w:color w:val="000000" w:themeColor="text1"/>
          <w:sz w:val="32"/>
          <w:szCs w:val="32"/>
        </w:rPr>
      </w:pPr>
      <w:r w:rsidRPr="002D68FD">
        <w:rPr>
          <w:rFonts w:ascii="仿宋_GB2312" w:eastAsia="仿宋_GB2312" w:hAnsi="仿宋" w:hint="eastAsia"/>
          <w:color w:val="000000" w:themeColor="text1"/>
          <w:sz w:val="32"/>
          <w:szCs w:val="32"/>
        </w:rPr>
        <w:t>月内集中交易结束后，电力交易机构应当根据经安全校核后的交易结果，对分月交易计划进行调整、更新和发布。</w:t>
      </w:r>
    </w:p>
    <w:p w:rsidR="00C60152" w:rsidRPr="0078040E" w:rsidRDefault="002D68FD">
      <w:pPr>
        <w:pStyle w:val="2"/>
        <w:spacing w:before="120" w:after="120" w:line="240" w:lineRule="auto"/>
        <w:jc w:val="center"/>
        <w:rPr>
          <w:rFonts w:ascii="仿宋_GB2312" w:eastAsia="仿宋_GB2312" w:hAnsi="仿宋"/>
          <w:b w:val="0"/>
          <w:color w:val="000000" w:themeColor="text1"/>
        </w:rPr>
      </w:pPr>
      <w:r w:rsidRPr="002D68FD">
        <w:rPr>
          <w:rFonts w:ascii="仿宋_GB2312" w:eastAsia="仿宋_GB2312" w:hAnsi="仿宋"/>
          <w:b w:val="0"/>
          <w:color w:val="000000" w:themeColor="text1"/>
        </w:rPr>
        <w:t>第五节 偏差电量处理机制</w:t>
      </w:r>
    </w:p>
    <w:p w:rsidR="00E54B9E" w:rsidRPr="0078040E" w:rsidRDefault="002D68FD" w:rsidP="00180CBF">
      <w:pPr>
        <w:pStyle w:val="af1"/>
        <w:numPr>
          <w:ilvl w:val="0"/>
          <w:numId w:val="1"/>
        </w:numPr>
        <w:spacing w:line="560" w:lineRule="exact"/>
        <w:jc w:val="both"/>
        <w:rPr>
          <w:rFonts w:ascii="仿宋_GB2312" w:eastAsia="仿宋_GB2312" w:hAnsi="仿宋"/>
          <w:color w:val="000000" w:themeColor="text1"/>
          <w:sz w:val="32"/>
          <w:szCs w:val="32"/>
        </w:rPr>
      </w:pPr>
      <w:r w:rsidRPr="002D68FD">
        <w:rPr>
          <w:rFonts w:ascii="仿宋_GB2312" w:eastAsia="仿宋_GB2312" w:hAnsi="仿宋" w:hint="eastAsia"/>
          <w:color w:val="000000" w:themeColor="text1"/>
          <w:sz w:val="32"/>
          <w:szCs w:val="32"/>
        </w:rPr>
        <w:t>允许发用双方在协商一致的前提下，对尚未执行的双边合同在合同执行前一周进行动态调整。鼓励市场主体通过月内（多日）交易实现月度发用电计划调整，减少合同执行偏差。</w:t>
      </w:r>
    </w:p>
    <w:p w:rsidR="000F7520" w:rsidRPr="0078040E" w:rsidRDefault="002D68FD" w:rsidP="00180CBF">
      <w:pPr>
        <w:pStyle w:val="af1"/>
        <w:numPr>
          <w:ilvl w:val="0"/>
          <w:numId w:val="1"/>
        </w:numPr>
        <w:spacing w:line="560" w:lineRule="exact"/>
        <w:jc w:val="both"/>
        <w:rPr>
          <w:rFonts w:ascii="仿宋_GB2312" w:eastAsia="仿宋_GB2312" w:hAnsi="仿宋"/>
          <w:color w:val="000000" w:themeColor="text1"/>
          <w:sz w:val="32"/>
          <w:szCs w:val="32"/>
        </w:rPr>
      </w:pPr>
      <w:bookmarkStart w:id="23" w:name="_Hlk24698229"/>
      <w:r w:rsidRPr="002D68FD">
        <w:rPr>
          <w:rFonts w:ascii="仿宋_GB2312" w:eastAsia="仿宋_GB2312" w:hAnsi="仿宋" w:hint="eastAsia"/>
          <w:color w:val="000000" w:themeColor="text1"/>
          <w:sz w:val="32"/>
          <w:szCs w:val="32"/>
        </w:rPr>
        <w:t>系统月度实际用电需求与月度发电计划存在偏差时</w:t>
      </w:r>
      <w:r w:rsidRPr="002D68FD">
        <w:rPr>
          <w:rFonts w:ascii="仿宋_GB2312" w:eastAsia="仿宋_GB2312" w:hAnsi="仿宋"/>
          <w:color w:val="000000" w:themeColor="text1"/>
          <w:sz w:val="32"/>
          <w:szCs w:val="32"/>
        </w:rPr>
        <w:t>,</w:t>
      </w:r>
      <w:r w:rsidRPr="002D68FD">
        <w:rPr>
          <w:rFonts w:ascii="仿宋_GB2312" w:eastAsia="仿宋_GB2312" w:hAnsi="仿宋" w:hint="eastAsia"/>
          <w:color w:val="000000" w:themeColor="text1"/>
          <w:sz w:val="32"/>
          <w:szCs w:val="32"/>
        </w:rPr>
        <w:t>可通过发电侧上下调预挂牌机制进行处理，也</w:t>
      </w:r>
      <w:bookmarkStart w:id="24" w:name="_Hlk24698239"/>
      <w:bookmarkEnd w:id="23"/>
      <w:r w:rsidRPr="002D68FD">
        <w:rPr>
          <w:rFonts w:ascii="仿宋_GB2312" w:eastAsia="仿宋_GB2312" w:hAnsi="仿宋" w:hint="eastAsia"/>
          <w:color w:val="000000" w:themeColor="text1"/>
          <w:sz w:val="32"/>
          <w:szCs w:val="32"/>
        </w:rPr>
        <w:t>可根据各地实际采用偏差电量次月挂牌、合同电量滚动调整等偏差处理机制。</w:t>
      </w:r>
    </w:p>
    <w:bookmarkEnd w:id="24"/>
    <w:p w:rsidR="00C60152" w:rsidRPr="0078040E" w:rsidRDefault="002D68FD" w:rsidP="00256E31">
      <w:pPr>
        <w:pStyle w:val="af1"/>
        <w:numPr>
          <w:ilvl w:val="0"/>
          <w:numId w:val="1"/>
        </w:numPr>
        <w:spacing w:line="560" w:lineRule="exact"/>
        <w:jc w:val="both"/>
        <w:rPr>
          <w:rFonts w:ascii="仿宋_GB2312" w:eastAsia="仿宋_GB2312" w:hAnsi="仿宋"/>
          <w:color w:val="000000" w:themeColor="text1"/>
          <w:sz w:val="32"/>
          <w:szCs w:val="32"/>
        </w:rPr>
      </w:pPr>
      <w:r w:rsidRPr="002D68FD">
        <w:rPr>
          <w:rFonts w:ascii="仿宋_GB2312" w:eastAsia="仿宋_GB2312" w:hAnsi="仿宋" w:hint="eastAsia"/>
          <w:color w:val="000000" w:themeColor="text1"/>
          <w:sz w:val="32"/>
          <w:szCs w:val="32"/>
        </w:rPr>
        <w:t>发电侧上下调预挂牌机制采用“报价、不报量”方式，具有调节能力的机组均应参与上下调报价。发电侧上下调预挂牌机制可采用如下组织方式：</w:t>
      </w:r>
    </w:p>
    <w:p w:rsidR="00C60152" w:rsidRPr="0078040E" w:rsidRDefault="002D68FD">
      <w:pPr>
        <w:pStyle w:val="af1"/>
        <w:spacing w:line="560" w:lineRule="exact"/>
        <w:ind w:left="85" w:firstLineChars="200" w:firstLine="640"/>
        <w:jc w:val="both"/>
        <w:rPr>
          <w:rFonts w:ascii="仿宋_GB2312" w:eastAsia="仿宋_GB2312" w:hAnsi="仿宋"/>
          <w:color w:val="000000" w:themeColor="text1"/>
          <w:sz w:val="32"/>
          <w:szCs w:val="32"/>
        </w:rPr>
      </w:pPr>
      <w:r w:rsidRPr="002D68FD">
        <w:rPr>
          <w:rFonts w:ascii="仿宋_GB2312" w:eastAsia="仿宋_GB2312" w:hAnsi="仿宋" w:hint="eastAsia"/>
          <w:color w:val="000000" w:themeColor="text1"/>
          <w:sz w:val="32"/>
          <w:szCs w:val="32"/>
        </w:rPr>
        <w:lastRenderedPageBreak/>
        <w:t>（一）月度交易结束后，发电机组申报上调报价（单位增发电量的售电价格）和下调报价（单位减发电量的购电价格）。允许发电机组在规定的月内截止日期前，修改其上调和下调报价。</w:t>
      </w:r>
    </w:p>
    <w:p w:rsidR="00C60152" w:rsidRPr="0078040E" w:rsidRDefault="002D68FD">
      <w:pPr>
        <w:pStyle w:val="af1"/>
        <w:spacing w:line="560" w:lineRule="exact"/>
        <w:ind w:firstLineChars="200" w:firstLine="640"/>
        <w:jc w:val="both"/>
        <w:rPr>
          <w:rFonts w:ascii="仿宋_GB2312" w:eastAsia="仿宋_GB2312" w:hAnsi="仿宋"/>
          <w:color w:val="000000" w:themeColor="text1"/>
          <w:sz w:val="32"/>
          <w:szCs w:val="32"/>
        </w:rPr>
      </w:pPr>
      <w:r w:rsidRPr="002D68FD">
        <w:rPr>
          <w:rFonts w:ascii="仿宋_GB2312" w:eastAsia="仿宋_GB2312" w:hAnsi="仿宋" w:hint="eastAsia"/>
          <w:color w:val="000000" w:themeColor="text1"/>
          <w:sz w:val="32"/>
          <w:szCs w:val="32"/>
        </w:rPr>
        <w:t>（二）电力交易机构按上调报价由低到高排序形成上调机组调用排序列表，按下调报价由高到低排序形成下调机组调用排序列表。价格相同时按发电侧节能低碳电力调度的优先级进行排序。</w:t>
      </w:r>
    </w:p>
    <w:p w:rsidR="00875DE2" w:rsidRPr="0078040E" w:rsidRDefault="002D68FD" w:rsidP="00875DE2">
      <w:pPr>
        <w:pStyle w:val="af1"/>
        <w:spacing w:line="560" w:lineRule="exact"/>
        <w:ind w:firstLineChars="200" w:firstLine="640"/>
        <w:jc w:val="both"/>
        <w:rPr>
          <w:rFonts w:ascii="仿宋_GB2312" w:eastAsia="仿宋_GB2312" w:hAnsi="仿宋"/>
          <w:color w:val="000000" w:themeColor="text1"/>
          <w:sz w:val="32"/>
          <w:szCs w:val="32"/>
        </w:rPr>
      </w:pPr>
      <w:r w:rsidRPr="002D68FD">
        <w:rPr>
          <w:rFonts w:ascii="仿宋_GB2312" w:eastAsia="仿宋_GB2312" w:hAnsi="仿宋" w:hint="eastAsia"/>
          <w:color w:val="000000" w:themeColor="text1"/>
          <w:sz w:val="32"/>
          <w:szCs w:val="32"/>
        </w:rPr>
        <w:t>（三）月度最后七个自然日，根据电力电量平衡预测，各类合同电量的分解执行无法满足省内供需平衡时，电力调度机构参考上下调机组排序，在满足电网安全约束的前提下，预先安排机组提供上调或下调电量、调整相应机组后续发电计划，实现供需平衡。机组提供的上调或下调电量根据电力调度机构的实际调用量进行结算。</w:t>
      </w:r>
    </w:p>
    <w:p w:rsidR="00000000" w:rsidRDefault="002D68FD">
      <w:pPr>
        <w:pStyle w:val="af1"/>
        <w:numPr>
          <w:ilvl w:val="0"/>
          <w:numId w:val="1"/>
        </w:numPr>
        <w:spacing w:line="560" w:lineRule="exact"/>
        <w:jc w:val="both"/>
        <w:rPr>
          <w:rFonts w:ascii="仿宋_GB2312" w:eastAsia="仿宋_GB2312" w:hAnsi="仿宋"/>
          <w:color w:val="000000" w:themeColor="text1"/>
          <w:sz w:val="32"/>
          <w:szCs w:val="32"/>
        </w:rPr>
      </w:pPr>
      <w:r w:rsidRPr="002D68FD">
        <w:rPr>
          <w:rFonts w:ascii="仿宋_GB2312" w:eastAsia="仿宋_GB2312" w:hAnsi="仿宋" w:hint="eastAsia"/>
          <w:color w:val="000000" w:themeColor="text1"/>
          <w:sz w:val="32"/>
          <w:szCs w:val="32"/>
        </w:rPr>
        <w:t>偏差电量次月挂牌机制可采用如下组织方式：</w:t>
      </w:r>
    </w:p>
    <w:p w:rsidR="000D1181" w:rsidRPr="0078040E" w:rsidRDefault="002D68FD" w:rsidP="000D1181">
      <w:pPr>
        <w:pStyle w:val="af1"/>
        <w:spacing w:line="560" w:lineRule="exact"/>
        <w:ind w:firstLineChars="200" w:firstLine="640"/>
        <w:jc w:val="both"/>
        <w:rPr>
          <w:rFonts w:ascii="仿宋_GB2312" w:eastAsia="仿宋_GB2312" w:hAnsi="仿宋"/>
          <w:color w:val="000000" w:themeColor="text1"/>
          <w:sz w:val="32"/>
          <w:szCs w:val="32"/>
        </w:rPr>
      </w:pPr>
      <w:r w:rsidRPr="002D68FD">
        <w:rPr>
          <w:rFonts w:ascii="仿宋_GB2312" w:eastAsia="仿宋_GB2312" w:hAnsi="仿宋" w:hint="eastAsia"/>
          <w:color w:val="000000" w:themeColor="text1"/>
          <w:sz w:val="32"/>
          <w:szCs w:val="32"/>
        </w:rPr>
        <w:t>（一）电力调度机构在保证电网安全运行的前提下，根据全网机组运行负荷率确定预挂牌机组负荷率上限和下限，并在月初公布。各机组上调、下调电量的限额按照负荷率上下限对应发电量与机组当月计划发电量的差额确定。</w:t>
      </w:r>
    </w:p>
    <w:p w:rsidR="000D1181" w:rsidRPr="0078040E" w:rsidRDefault="002D68FD" w:rsidP="000D1181">
      <w:pPr>
        <w:pStyle w:val="af1"/>
        <w:spacing w:line="560" w:lineRule="exact"/>
        <w:ind w:firstLineChars="200" w:firstLine="640"/>
        <w:jc w:val="both"/>
        <w:rPr>
          <w:rFonts w:ascii="仿宋_GB2312" w:eastAsia="仿宋_GB2312" w:hAnsi="仿宋"/>
          <w:color w:val="000000" w:themeColor="text1"/>
          <w:sz w:val="32"/>
          <w:szCs w:val="32"/>
        </w:rPr>
      </w:pPr>
      <w:r w:rsidRPr="002D68FD">
        <w:rPr>
          <w:rFonts w:ascii="仿宋_GB2312" w:eastAsia="仿宋_GB2312" w:hAnsi="仿宋" w:hint="eastAsia"/>
          <w:color w:val="000000" w:themeColor="text1"/>
          <w:sz w:val="32"/>
          <w:szCs w:val="32"/>
        </w:rPr>
        <w:t>（二）在满足电网安全约束的前提下，将上月全网实际完成电量与全网计划发电量的差额，按照各机组上月申报的预挂牌价格（上调申报增发价格、下调申报补偿价格）排序确定机组上调、下调电量，作为月度调整电量累加至机组本</w:t>
      </w:r>
      <w:r w:rsidRPr="002D68FD">
        <w:rPr>
          <w:rFonts w:ascii="仿宋_GB2312" w:eastAsia="仿宋_GB2312" w:hAnsi="仿宋" w:hint="eastAsia"/>
          <w:color w:val="000000" w:themeColor="text1"/>
          <w:sz w:val="32"/>
          <w:szCs w:val="32"/>
        </w:rPr>
        <w:lastRenderedPageBreak/>
        <w:t>月计划发电量。其中，下调电量按照机组月度集中交易电量、月度双边交易电量、年度分月双边交易电量、计划电量的顺序扣减相应合同电量。</w:t>
      </w:r>
    </w:p>
    <w:p w:rsidR="0028008E" w:rsidRPr="0078040E" w:rsidRDefault="002D68FD" w:rsidP="000D1181">
      <w:pPr>
        <w:pStyle w:val="af1"/>
        <w:spacing w:line="560" w:lineRule="exact"/>
        <w:ind w:firstLineChars="200" w:firstLine="640"/>
        <w:jc w:val="both"/>
        <w:rPr>
          <w:rFonts w:ascii="仿宋_GB2312" w:eastAsia="仿宋_GB2312" w:hAnsi="仿宋"/>
          <w:color w:val="000000" w:themeColor="text1"/>
          <w:sz w:val="32"/>
          <w:szCs w:val="32"/>
        </w:rPr>
      </w:pPr>
      <w:r w:rsidRPr="002D68FD">
        <w:rPr>
          <w:rFonts w:ascii="仿宋_GB2312" w:eastAsia="仿宋_GB2312" w:hAnsi="仿宋" w:hint="eastAsia"/>
          <w:color w:val="000000" w:themeColor="text1"/>
          <w:sz w:val="32"/>
          <w:szCs w:val="32"/>
        </w:rPr>
        <w:t>（三）月度发电计划执行完毕后，发电侧首先结算机组上调电量或下调电量</w:t>
      </w:r>
      <w:r w:rsidRPr="002D68FD">
        <w:rPr>
          <w:rFonts w:ascii="仿宋_GB2312" w:eastAsia="仿宋_GB2312" w:hAnsi="仿宋"/>
          <w:color w:val="000000" w:themeColor="text1"/>
          <w:sz w:val="32"/>
          <w:szCs w:val="32"/>
        </w:rPr>
        <w:t>,</w:t>
      </w:r>
      <w:r w:rsidRPr="002D68FD">
        <w:rPr>
          <w:rFonts w:ascii="仿宋_GB2312" w:eastAsia="仿宋_GB2312"/>
          <w:color w:val="000000" w:themeColor="text1"/>
        </w:rPr>
        <w:t xml:space="preserve"> </w:t>
      </w:r>
      <w:r w:rsidRPr="002D68FD">
        <w:rPr>
          <w:rFonts w:ascii="仿宋_GB2312" w:eastAsia="仿宋_GB2312" w:hAnsi="仿宋" w:hint="eastAsia"/>
          <w:color w:val="000000" w:themeColor="text1"/>
          <w:sz w:val="32"/>
          <w:szCs w:val="32"/>
        </w:rPr>
        <w:t>其余电量按照各类合同电量结算顺序及对应电价结算；用户侧按当月实际用电量和合同电量加权价结算电费，实际用电量与合同电量的偏差予以考核。</w:t>
      </w:r>
    </w:p>
    <w:p w:rsidR="008E3BB3" w:rsidRPr="0078040E" w:rsidRDefault="002D68FD">
      <w:pPr>
        <w:pStyle w:val="af1"/>
        <w:numPr>
          <w:ilvl w:val="0"/>
          <w:numId w:val="1"/>
        </w:numPr>
        <w:spacing w:line="560" w:lineRule="exact"/>
        <w:jc w:val="both"/>
        <w:rPr>
          <w:rFonts w:ascii="仿宋_GB2312" w:eastAsia="仿宋_GB2312" w:hAnsi="仿宋"/>
          <w:color w:val="000000" w:themeColor="text1"/>
          <w:sz w:val="32"/>
          <w:szCs w:val="32"/>
        </w:rPr>
      </w:pPr>
      <w:r w:rsidRPr="002D68FD">
        <w:rPr>
          <w:rFonts w:ascii="仿宋_GB2312" w:eastAsia="仿宋_GB2312" w:hAnsi="仿宋" w:hint="eastAsia"/>
          <w:color w:val="000000" w:themeColor="text1"/>
          <w:sz w:val="32"/>
          <w:szCs w:val="32"/>
        </w:rPr>
        <w:t>合同电量滚动调整机制可采用发电侧合同电量按月滚动调整，用户侧合同电量月结月清或按月滚动调整。</w:t>
      </w:r>
    </w:p>
    <w:p w:rsidR="00C60152" w:rsidRPr="0078040E" w:rsidRDefault="002D68FD">
      <w:pPr>
        <w:pStyle w:val="1"/>
        <w:spacing w:before="120" w:after="120" w:line="240" w:lineRule="auto"/>
        <w:jc w:val="center"/>
        <w:rPr>
          <w:rFonts w:ascii="仿宋_GB2312" w:eastAsia="仿宋_GB2312" w:hAnsi="仿宋"/>
          <w:color w:val="000000" w:themeColor="text1"/>
          <w:sz w:val="32"/>
          <w:szCs w:val="32"/>
        </w:rPr>
      </w:pPr>
      <w:r w:rsidRPr="002D68FD">
        <w:rPr>
          <w:rFonts w:ascii="仿宋_GB2312" w:eastAsia="仿宋_GB2312" w:hAnsi="仿宋"/>
          <w:color w:val="000000" w:themeColor="text1"/>
          <w:sz w:val="32"/>
          <w:szCs w:val="32"/>
        </w:rPr>
        <w:t>第七章 安全校核</w:t>
      </w:r>
    </w:p>
    <w:p w:rsidR="00C60152" w:rsidRPr="0078040E" w:rsidRDefault="002D68FD" w:rsidP="00180CBF">
      <w:pPr>
        <w:pStyle w:val="af1"/>
        <w:numPr>
          <w:ilvl w:val="0"/>
          <w:numId w:val="1"/>
        </w:numPr>
        <w:spacing w:line="560" w:lineRule="exact"/>
        <w:jc w:val="both"/>
        <w:rPr>
          <w:rFonts w:ascii="仿宋_GB2312" w:eastAsia="仿宋_GB2312" w:hAnsi="仿宋"/>
          <w:color w:val="000000" w:themeColor="text1"/>
          <w:sz w:val="32"/>
          <w:szCs w:val="32"/>
        </w:rPr>
      </w:pPr>
      <w:r w:rsidRPr="002D68FD">
        <w:rPr>
          <w:rFonts w:ascii="仿宋_GB2312" w:eastAsia="仿宋_GB2312" w:hAnsi="仿宋" w:hint="eastAsia"/>
          <w:color w:val="000000" w:themeColor="text1"/>
          <w:sz w:val="32"/>
          <w:szCs w:val="32"/>
        </w:rPr>
        <w:t>各类交易必须通过电力调度机构安全校核。涉及跨区跨省的交易，须提交相关电力调度机构共同进行安全校核，各级电力调度机构均有为各电力交易机构提供电力交易（涉及本电力调度机构调度范围的）安全校核服务的责任。安全校核的主要内容包括：通道输电能力限制、机组发电能力限制、机组辅助服务限制等内容。</w:t>
      </w:r>
    </w:p>
    <w:p w:rsidR="00C60152" w:rsidRPr="0078040E" w:rsidRDefault="002D68FD" w:rsidP="00180CBF">
      <w:pPr>
        <w:pStyle w:val="af1"/>
        <w:numPr>
          <w:ilvl w:val="0"/>
          <w:numId w:val="1"/>
        </w:numPr>
        <w:spacing w:line="560" w:lineRule="exact"/>
        <w:jc w:val="both"/>
        <w:rPr>
          <w:rFonts w:ascii="仿宋_GB2312" w:eastAsia="仿宋_GB2312" w:hAnsi="仿宋"/>
          <w:color w:val="FF0000"/>
          <w:sz w:val="32"/>
          <w:szCs w:val="32"/>
        </w:rPr>
      </w:pPr>
      <w:r w:rsidRPr="002D68FD">
        <w:rPr>
          <w:rFonts w:ascii="仿宋_GB2312" w:eastAsia="仿宋_GB2312" w:hAnsi="仿宋" w:hint="eastAsia"/>
          <w:color w:val="000000" w:themeColor="text1"/>
          <w:sz w:val="32"/>
          <w:szCs w:val="32"/>
        </w:rPr>
        <w:t>电力调度机构应及时向电力交易机构提供或更新各断面（设备）、各路径可用输电容量，以及交易在不同断面、路径上的分布系数，并通过交易平台发布必开机组组合和发电量需求，影响断面（设备）限额变化的停电检修等。</w:t>
      </w:r>
    </w:p>
    <w:p w:rsidR="00C60152" w:rsidRPr="0078040E" w:rsidRDefault="002D68FD" w:rsidP="00A634E9">
      <w:pPr>
        <w:pStyle w:val="af1"/>
        <w:spacing w:line="560" w:lineRule="exact"/>
        <w:ind w:left="85" w:firstLineChars="200" w:firstLine="640"/>
        <w:jc w:val="both"/>
        <w:rPr>
          <w:rFonts w:ascii="仿宋_GB2312" w:eastAsia="仿宋_GB2312" w:hAnsi="仿宋"/>
          <w:color w:val="000000" w:themeColor="text1"/>
          <w:sz w:val="32"/>
          <w:szCs w:val="32"/>
        </w:rPr>
      </w:pPr>
      <w:r w:rsidRPr="002D68FD">
        <w:rPr>
          <w:rFonts w:ascii="仿宋_GB2312" w:eastAsia="仿宋_GB2312" w:hAnsi="仿宋" w:hint="eastAsia"/>
          <w:color w:val="000000" w:themeColor="text1"/>
          <w:sz w:val="32"/>
          <w:szCs w:val="32"/>
        </w:rPr>
        <w:t>电力交易机构以各断面、各路径可用输电容量等为约束，对集中交易进行出清，并与同期组织的双边交易一并提交电力调度机构进行安全校核。</w:t>
      </w:r>
    </w:p>
    <w:p w:rsidR="00C60152" w:rsidRPr="0078040E" w:rsidRDefault="002D68FD" w:rsidP="00180CBF">
      <w:pPr>
        <w:pStyle w:val="af1"/>
        <w:numPr>
          <w:ilvl w:val="0"/>
          <w:numId w:val="1"/>
        </w:numPr>
        <w:spacing w:line="560" w:lineRule="exact"/>
        <w:jc w:val="both"/>
        <w:rPr>
          <w:rFonts w:ascii="仿宋_GB2312" w:eastAsia="仿宋_GB2312" w:hAnsi="仿宋"/>
          <w:color w:val="000000" w:themeColor="text1"/>
          <w:sz w:val="32"/>
          <w:szCs w:val="32"/>
        </w:rPr>
      </w:pPr>
      <w:r w:rsidRPr="002D68FD">
        <w:rPr>
          <w:rFonts w:ascii="仿宋_GB2312" w:eastAsia="仿宋_GB2312" w:hAnsi="仿宋" w:hint="eastAsia"/>
          <w:color w:val="000000" w:themeColor="text1"/>
          <w:sz w:val="32"/>
          <w:szCs w:val="32"/>
        </w:rPr>
        <w:lastRenderedPageBreak/>
        <w:t>为保障系统整体的备用和调频调峰能力，在各类市场化交易开始前，电力调度机构可以根据机组可调出力、检修天数、系统负荷曲线以及电网约束情况，折算得出各机组的电量上限，对参与市场化交易的机组发电利用小时数提出限制建议，并及时提供关键通道可用输电容量、关键设备检修计划等电网运行相关信息，由电力交易机构予以公布。</w:t>
      </w:r>
    </w:p>
    <w:p w:rsidR="00C60152" w:rsidRPr="0078040E" w:rsidRDefault="002D68FD">
      <w:pPr>
        <w:pStyle w:val="af1"/>
        <w:spacing w:line="560" w:lineRule="exact"/>
        <w:ind w:left="85" w:firstLineChars="200" w:firstLine="640"/>
        <w:jc w:val="both"/>
        <w:rPr>
          <w:rFonts w:ascii="仿宋_GB2312" w:eastAsia="仿宋_GB2312" w:hAnsi="仿宋"/>
          <w:color w:val="000000" w:themeColor="text1"/>
          <w:sz w:val="32"/>
          <w:szCs w:val="32"/>
        </w:rPr>
      </w:pPr>
      <w:r w:rsidRPr="002D68FD">
        <w:rPr>
          <w:rFonts w:ascii="仿宋_GB2312" w:eastAsia="仿宋_GB2312" w:hAnsi="仿宋" w:hint="eastAsia"/>
          <w:color w:val="000000" w:themeColor="text1"/>
          <w:sz w:val="32"/>
          <w:szCs w:val="32"/>
        </w:rPr>
        <w:t>其中，对于年度交易，应当在年度电力电量预测平衡的基础上，结合检修计划，按照不低于关键通道可用输电容量的80%下达交易限额。</w:t>
      </w:r>
    </w:p>
    <w:p w:rsidR="00C60152" w:rsidRPr="0078040E" w:rsidRDefault="002D68FD">
      <w:pPr>
        <w:pStyle w:val="af1"/>
        <w:spacing w:line="560" w:lineRule="exact"/>
        <w:ind w:left="85" w:firstLineChars="200" w:firstLine="640"/>
        <w:jc w:val="both"/>
        <w:rPr>
          <w:rFonts w:ascii="仿宋_GB2312" w:eastAsia="仿宋_GB2312" w:hAnsi="仿宋"/>
          <w:color w:val="000000" w:themeColor="text1"/>
          <w:sz w:val="32"/>
          <w:szCs w:val="32"/>
        </w:rPr>
      </w:pPr>
      <w:r w:rsidRPr="002D68FD">
        <w:rPr>
          <w:rFonts w:ascii="仿宋_GB2312" w:eastAsia="仿宋_GB2312" w:hAnsi="仿宋" w:hint="eastAsia"/>
          <w:color w:val="000000" w:themeColor="text1"/>
          <w:sz w:val="32"/>
          <w:szCs w:val="32"/>
        </w:rPr>
        <w:t>对于月度交易，应当在月度电力电量预测平衡的基础上，结合检修计划和发电设备利用率，按照不低于关键通道可用输电容量的90%下达交易限额；发电设备利用率应结合调峰调频需求制定，并向市场主体公开设备利用率。</w:t>
      </w:r>
    </w:p>
    <w:p w:rsidR="00C60152" w:rsidRPr="0078040E" w:rsidRDefault="002D68FD">
      <w:pPr>
        <w:pStyle w:val="af1"/>
        <w:spacing w:line="560" w:lineRule="exact"/>
        <w:ind w:left="85" w:firstLineChars="200" w:firstLine="640"/>
        <w:jc w:val="both"/>
        <w:rPr>
          <w:rFonts w:ascii="仿宋_GB2312" w:eastAsia="仿宋_GB2312" w:hAnsi="仿宋"/>
          <w:color w:val="000000" w:themeColor="text1"/>
          <w:sz w:val="32"/>
          <w:szCs w:val="32"/>
        </w:rPr>
      </w:pPr>
      <w:r w:rsidRPr="002D68FD">
        <w:rPr>
          <w:rFonts w:ascii="仿宋_GB2312" w:eastAsia="仿宋_GB2312" w:hAnsi="仿宋" w:hint="eastAsia"/>
          <w:color w:val="000000" w:themeColor="text1"/>
          <w:sz w:val="32"/>
          <w:szCs w:val="32"/>
        </w:rPr>
        <w:t>对于月度内的交易，参考月度交易的限额制定方法，按照不低于关键通道可用输电容量的95%下达交易限额。</w:t>
      </w:r>
    </w:p>
    <w:p w:rsidR="00CA29EB" w:rsidRPr="0078040E" w:rsidRDefault="002D68FD" w:rsidP="0097695F">
      <w:pPr>
        <w:pStyle w:val="af1"/>
        <w:numPr>
          <w:ilvl w:val="0"/>
          <w:numId w:val="1"/>
        </w:numPr>
        <w:spacing w:line="560" w:lineRule="exact"/>
        <w:jc w:val="both"/>
        <w:rPr>
          <w:rFonts w:ascii="仿宋_GB2312" w:eastAsia="仿宋_GB2312" w:hAnsi="仿宋"/>
          <w:color w:val="000000" w:themeColor="text1"/>
          <w:sz w:val="32"/>
          <w:szCs w:val="32"/>
        </w:rPr>
      </w:pPr>
      <w:r w:rsidRPr="002D68FD">
        <w:rPr>
          <w:rFonts w:ascii="仿宋_GB2312" w:eastAsia="仿宋_GB2312" w:hAnsi="仿宋" w:hint="eastAsia"/>
          <w:color w:val="000000" w:themeColor="text1"/>
          <w:sz w:val="32"/>
          <w:szCs w:val="32"/>
        </w:rPr>
        <w:t>安全校核未通过时，由电力交易机构进行交易削减。对于双边交易，可按时间优先、等比例等原则进行削减；对于集中交易，可按价格优先原则进行削减，价格相同时按发电侧节能低碳电力调度的优先级进行削减。</w:t>
      </w:r>
    </w:p>
    <w:p w:rsidR="008E3BB3" w:rsidRPr="0078040E" w:rsidRDefault="002D68FD">
      <w:pPr>
        <w:pStyle w:val="af1"/>
        <w:spacing w:line="560" w:lineRule="exact"/>
        <w:ind w:left="85" w:firstLineChars="200" w:firstLine="640"/>
        <w:jc w:val="both"/>
        <w:rPr>
          <w:rFonts w:ascii="仿宋_GB2312" w:eastAsia="仿宋_GB2312" w:hAnsi="仿宋"/>
          <w:color w:val="000000" w:themeColor="text1"/>
          <w:sz w:val="32"/>
          <w:szCs w:val="32"/>
        </w:rPr>
      </w:pPr>
      <w:r w:rsidRPr="002D68FD">
        <w:rPr>
          <w:rFonts w:ascii="仿宋_GB2312" w:eastAsia="仿宋_GB2312" w:hAnsi="仿宋" w:hint="eastAsia"/>
          <w:color w:val="000000" w:themeColor="text1"/>
          <w:sz w:val="32"/>
          <w:szCs w:val="32"/>
        </w:rPr>
        <w:t>执行过程中，电力调度机构因电网安全和清洁能源消纳原因调整中长期交易计划后，应当详细记录原因并向市场主体说明。</w:t>
      </w:r>
    </w:p>
    <w:p w:rsidR="00C60152" w:rsidRPr="0078040E" w:rsidRDefault="002D68FD" w:rsidP="00180CBF">
      <w:pPr>
        <w:pStyle w:val="af1"/>
        <w:numPr>
          <w:ilvl w:val="0"/>
          <w:numId w:val="1"/>
        </w:numPr>
        <w:spacing w:line="560" w:lineRule="exact"/>
        <w:jc w:val="both"/>
        <w:rPr>
          <w:rFonts w:ascii="仿宋_GB2312" w:eastAsia="仿宋_GB2312" w:hAnsi="仿宋"/>
          <w:color w:val="000000" w:themeColor="text1"/>
          <w:sz w:val="32"/>
          <w:szCs w:val="32"/>
        </w:rPr>
      </w:pPr>
      <w:r w:rsidRPr="002D68FD">
        <w:rPr>
          <w:rFonts w:ascii="仿宋_GB2312" w:eastAsia="仿宋_GB2312" w:hAnsi="仿宋" w:hint="eastAsia"/>
          <w:color w:val="000000" w:themeColor="text1"/>
          <w:sz w:val="32"/>
          <w:szCs w:val="32"/>
        </w:rPr>
        <w:t>安全校核应当在规定的期限内完成。安全</w:t>
      </w:r>
      <w:r w:rsidRPr="002D68FD">
        <w:rPr>
          <w:rFonts w:ascii="仿宋_GB2312" w:eastAsia="仿宋_GB2312" w:hAnsi="仿宋" w:hint="eastAsia"/>
          <w:color w:val="000000" w:themeColor="text1"/>
          <w:sz w:val="32"/>
          <w:szCs w:val="32"/>
        </w:rPr>
        <w:lastRenderedPageBreak/>
        <w:t>校核未通过时，电力调度机构需出具书面解释，由电力交易机构予以公布。</w:t>
      </w:r>
    </w:p>
    <w:p w:rsidR="00C60152" w:rsidRPr="0078040E" w:rsidRDefault="002D68FD">
      <w:pPr>
        <w:pStyle w:val="1"/>
        <w:spacing w:before="120" w:after="120" w:line="240" w:lineRule="auto"/>
        <w:jc w:val="center"/>
        <w:rPr>
          <w:rFonts w:ascii="仿宋_GB2312" w:eastAsia="仿宋_GB2312" w:hAnsi="仿宋"/>
          <w:color w:val="000000" w:themeColor="text1"/>
          <w:sz w:val="32"/>
          <w:szCs w:val="32"/>
        </w:rPr>
      </w:pPr>
      <w:r w:rsidRPr="002D68FD">
        <w:rPr>
          <w:rFonts w:ascii="仿宋_GB2312" w:eastAsia="仿宋_GB2312" w:hAnsi="仿宋"/>
          <w:color w:val="000000" w:themeColor="text1"/>
          <w:sz w:val="32"/>
          <w:szCs w:val="32"/>
        </w:rPr>
        <w:t>第八章 合同签订与执行</w:t>
      </w:r>
    </w:p>
    <w:p w:rsidR="00C60152" w:rsidRPr="0078040E" w:rsidRDefault="002D68FD">
      <w:pPr>
        <w:pStyle w:val="2"/>
        <w:spacing w:before="120" w:after="120" w:line="240" w:lineRule="auto"/>
        <w:jc w:val="center"/>
        <w:rPr>
          <w:rFonts w:ascii="仿宋_GB2312" w:eastAsia="仿宋_GB2312" w:hAnsi="仿宋"/>
          <w:b w:val="0"/>
          <w:color w:val="000000" w:themeColor="text1"/>
        </w:rPr>
      </w:pPr>
      <w:r w:rsidRPr="002D68FD">
        <w:rPr>
          <w:rFonts w:ascii="仿宋_GB2312" w:eastAsia="仿宋_GB2312" w:hAnsi="仿宋" w:hint="eastAsia"/>
          <w:b w:val="0"/>
          <w:color w:val="000000" w:themeColor="text1"/>
        </w:rPr>
        <w:t>第一节</w:t>
      </w:r>
      <w:r w:rsidRPr="002D68FD">
        <w:rPr>
          <w:rFonts w:ascii="仿宋_GB2312" w:eastAsia="仿宋_GB2312" w:hAnsi="仿宋"/>
          <w:b w:val="0"/>
          <w:color w:val="000000" w:themeColor="text1"/>
        </w:rPr>
        <w:t xml:space="preserve"> </w:t>
      </w:r>
      <w:r w:rsidRPr="002D68FD">
        <w:rPr>
          <w:rFonts w:ascii="仿宋_GB2312" w:eastAsia="仿宋_GB2312" w:hAnsi="仿宋" w:hint="eastAsia"/>
          <w:b w:val="0"/>
          <w:color w:val="000000" w:themeColor="text1"/>
        </w:rPr>
        <w:t>合同签订</w:t>
      </w:r>
    </w:p>
    <w:p w:rsidR="00C60152" w:rsidRPr="0078040E" w:rsidRDefault="002D68FD" w:rsidP="00180CBF">
      <w:pPr>
        <w:pStyle w:val="af1"/>
        <w:numPr>
          <w:ilvl w:val="0"/>
          <w:numId w:val="1"/>
        </w:numPr>
        <w:tabs>
          <w:tab w:val="left" w:pos="720"/>
        </w:tabs>
        <w:spacing w:line="560" w:lineRule="exact"/>
        <w:ind w:left="0" w:firstLineChars="200" w:firstLine="640"/>
        <w:jc w:val="both"/>
        <w:rPr>
          <w:rFonts w:ascii="仿宋_GB2312" w:eastAsia="仿宋_GB2312" w:hAnsi="仿宋"/>
          <w:color w:val="000000" w:themeColor="text1"/>
          <w:sz w:val="32"/>
          <w:szCs w:val="32"/>
        </w:rPr>
      </w:pPr>
      <w:r w:rsidRPr="002D68FD">
        <w:rPr>
          <w:rFonts w:ascii="仿宋_GB2312" w:eastAsia="仿宋_GB2312" w:hAnsi="仿宋" w:hint="eastAsia"/>
          <w:color w:val="000000" w:themeColor="text1"/>
          <w:sz w:val="32"/>
          <w:szCs w:val="32"/>
        </w:rPr>
        <w:t>各市场成员应当根据交易结果或政府下达的计划电量，参照合同示范文本签订购售电合同，并在规定时间内提交至电力交易机构。购售电合同中应当明确购电方、售电方、输电方、电量（电力）、电价、执行周期、结算方式、偏差电量计量、违约处罚、资金往来信息等内容。</w:t>
      </w:r>
    </w:p>
    <w:p w:rsidR="00C60152" w:rsidRPr="0078040E" w:rsidRDefault="002D68FD" w:rsidP="00180CBF">
      <w:pPr>
        <w:pStyle w:val="af1"/>
        <w:numPr>
          <w:ilvl w:val="0"/>
          <w:numId w:val="1"/>
        </w:numPr>
        <w:tabs>
          <w:tab w:val="left" w:pos="720"/>
        </w:tabs>
        <w:spacing w:line="560" w:lineRule="exact"/>
        <w:ind w:left="0" w:firstLineChars="200" w:firstLine="640"/>
        <w:jc w:val="both"/>
        <w:rPr>
          <w:rFonts w:ascii="仿宋_GB2312" w:eastAsia="仿宋_GB2312" w:hAnsi="仿宋"/>
          <w:color w:val="000000" w:themeColor="text1"/>
          <w:sz w:val="32"/>
          <w:szCs w:val="32"/>
        </w:rPr>
      </w:pPr>
      <w:r w:rsidRPr="002D68FD">
        <w:rPr>
          <w:rFonts w:ascii="仿宋_GB2312" w:eastAsia="仿宋_GB2312" w:hAnsi="仿宋" w:hint="eastAsia"/>
          <w:color w:val="000000" w:themeColor="text1"/>
          <w:sz w:val="32"/>
          <w:szCs w:val="32"/>
        </w:rPr>
        <w:t>购售电合同原则上应采用电子合同签订，电力交易平台应当满足国家电子合同有关规定的技术要求，市场成员应当依法使用可靠的电子签名，电子合同与纸质合同具备同等效力。</w:t>
      </w:r>
    </w:p>
    <w:p w:rsidR="00C60152" w:rsidRPr="0078040E" w:rsidRDefault="002D68FD" w:rsidP="00180CBF">
      <w:pPr>
        <w:pStyle w:val="af1"/>
        <w:numPr>
          <w:ilvl w:val="0"/>
          <w:numId w:val="1"/>
        </w:numPr>
        <w:tabs>
          <w:tab w:val="left" w:pos="720"/>
        </w:tabs>
        <w:spacing w:line="560" w:lineRule="exact"/>
        <w:ind w:left="0" w:firstLineChars="200" w:firstLine="640"/>
        <w:jc w:val="both"/>
        <w:rPr>
          <w:rFonts w:ascii="仿宋_GB2312" w:eastAsia="仿宋_GB2312" w:hAnsi="仿宋"/>
          <w:color w:val="000000" w:themeColor="text1"/>
          <w:sz w:val="32"/>
          <w:szCs w:val="32"/>
        </w:rPr>
      </w:pPr>
      <w:r w:rsidRPr="002D68FD">
        <w:rPr>
          <w:rFonts w:ascii="仿宋_GB2312" w:eastAsia="仿宋_GB2312" w:hAnsi="仿宋" w:hint="eastAsia"/>
          <w:color w:val="000000" w:themeColor="text1"/>
          <w:sz w:val="32"/>
          <w:szCs w:val="32"/>
        </w:rPr>
        <w:t>在电力交易平台提交、确认的双边协商交易以及参与集中交易产生的结果，各相关市场成员可将电力交易机构出具的电子交易确认单（视同为电子合同）作为执行依据。</w:t>
      </w:r>
    </w:p>
    <w:p w:rsidR="00C60152" w:rsidRPr="0078040E" w:rsidRDefault="002D68FD">
      <w:pPr>
        <w:pStyle w:val="2"/>
        <w:spacing w:before="120" w:after="120" w:line="240" w:lineRule="auto"/>
        <w:jc w:val="center"/>
        <w:rPr>
          <w:rFonts w:ascii="仿宋_GB2312" w:eastAsia="仿宋_GB2312" w:hAnsi="仿宋"/>
          <w:b w:val="0"/>
          <w:color w:val="000000" w:themeColor="text1"/>
        </w:rPr>
      </w:pPr>
      <w:bookmarkStart w:id="25" w:name="OLE_LINK32"/>
      <w:r w:rsidRPr="002D68FD">
        <w:rPr>
          <w:rFonts w:ascii="仿宋_GB2312" w:eastAsia="仿宋_GB2312" w:hAnsi="仿宋"/>
          <w:b w:val="0"/>
          <w:color w:val="000000" w:themeColor="text1"/>
        </w:rPr>
        <w:t xml:space="preserve">第二节 </w:t>
      </w:r>
      <w:bookmarkEnd w:id="25"/>
      <w:r w:rsidRPr="002D68FD">
        <w:rPr>
          <w:rFonts w:ascii="仿宋_GB2312" w:eastAsia="仿宋_GB2312" w:hAnsi="仿宋" w:hint="eastAsia"/>
          <w:b w:val="0"/>
          <w:color w:val="000000" w:themeColor="text1"/>
        </w:rPr>
        <w:t>优先发电合同</w:t>
      </w:r>
    </w:p>
    <w:p w:rsidR="00C60152" w:rsidRPr="0078040E" w:rsidRDefault="002D68FD" w:rsidP="00180CBF">
      <w:pPr>
        <w:pStyle w:val="af1"/>
        <w:numPr>
          <w:ilvl w:val="0"/>
          <w:numId w:val="1"/>
        </w:numPr>
        <w:spacing w:line="560" w:lineRule="exact"/>
        <w:jc w:val="both"/>
        <w:rPr>
          <w:rFonts w:ascii="仿宋_GB2312" w:eastAsia="仿宋_GB2312" w:hAnsi="仿宋"/>
          <w:color w:val="000000" w:themeColor="text1"/>
          <w:sz w:val="32"/>
          <w:szCs w:val="32"/>
        </w:rPr>
      </w:pPr>
      <w:r w:rsidRPr="002D68FD">
        <w:rPr>
          <w:rFonts w:ascii="仿宋_GB2312" w:eastAsia="仿宋_GB2312" w:hAnsi="仿宋" w:hint="eastAsia"/>
          <w:color w:val="000000" w:themeColor="text1"/>
          <w:sz w:val="32"/>
          <w:szCs w:val="32"/>
        </w:rPr>
        <w:t xml:space="preserve"> 跨区跨省的政府间协议原则上在上一年度的</w:t>
      </w:r>
      <w:r w:rsidRPr="002D68FD">
        <w:rPr>
          <w:rFonts w:ascii="仿宋_GB2312" w:eastAsia="仿宋_GB2312" w:hAnsi="仿宋"/>
          <w:color w:val="000000" w:themeColor="text1"/>
          <w:sz w:val="32"/>
          <w:szCs w:val="32"/>
        </w:rPr>
        <w:t>11月</w:t>
      </w:r>
      <w:r w:rsidRPr="002D68FD">
        <w:rPr>
          <w:rFonts w:ascii="仿宋_GB2312" w:eastAsia="仿宋_GB2312" w:hAnsi="仿宋" w:hint="eastAsia"/>
          <w:color w:val="000000" w:themeColor="text1"/>
          <w:sz w:val="32"/>
          <w:szCs w:val="32"/>
        </w:rPr>
        <w:t>底前预测和下达总体电力电量规模和分月计划，由购售双方签订相应的购售电合同。合同需约定年度电量规模及分月计划、送受电曲线或确定曲线的原则、交易价格等，纳入送、受电省优先发电计划，并优先安排输电通道。年度</w:t>
      </w:r>
      <w:r w:rsidRPr="002D68FD">
        <w:rPr>
          <w:rFonts w:ascii="仿宋_GB2312" w:eastAsia="仿宋_GB2312" w:hAnsi="仿宋" w:hint="eastAsia"/>
          <w:color w:val="000000" w:themeColor="text1"/>
          <w:sz w:val="32"/>
          <w:szCs w:val="32"/>
        </w:rPr>
        <w:lastRenderedPageBreak/>
        <w:t>电量规模及分月计划可根据实际执行情况，由购售双方协商调整。</w:t>
      </w:r>
    </w:p>
    <w:p w:rsidR="00C60152" w:rsidRPr="0078040E" w:rsidRDefault="002D68FD" w:rsidP="00180CBF">
      <w:pPr>
        <w:pStyle w:val="af1"/>
        <w:numPr>
          <w:ilvl w:val="0"/>
          <w:numId w:val="1"/>
        </w:numPr>
        <w:spacing w:line="560" w:lineRule="exact"/>
        <w:ind w:left="0" w:firstLine="709"/>
        <w:jc w:val="both"/>
        <w:rPr>
          <w:rFonts w:ascii="仿宋_GB2312" w:eastAsia="仿宋_GB2312" w:hAnsi="仿宋"/>
          <w:color w:val="000000" w:themeColor="text1"/>
          <w:sz w:val="32"/>
          <w:szCs w:val="32"/>
        </w:rPr>
      </w:pPr>
      <w:r w:rsidRPr="002D68FD">
        <w:rPr>
          <w:rFonts w:ascii="仿宋_GB2312" w:eastAsia="仿宋_GB2312" w:hAnsi="仿宋" w:hint="eastAsia"/>
          <w:color w:val="000000" w:themeColor="text1"/>
          <w:sz w:val="32"/>
          <w:szCs w:val="32"/>
        </w:rPr>
        <w:t xml:space="preserve"> 对于省内优先发电计划，各地区结合电网安全、供需形势、电源结构等因素，科学安排本地优先发电电量，不得将上述电量安排在指定时段内集中执行，也不得将上述电量作为调节市场自由竞争的手段。</w:t>
      </w:r>
    </w:p>
    <w:p w:rsidR="00C60152" w:rsidRPr="0078040E" w:rsidRDefault="002D68FD" w:rsidP="00180CBF">
      <w:pPr>
        <w:pStyle w:val="af1"/>
        <w:numPr>
          <w:ilvl w:val="0"/>
          <w:numId w:val="1"/>
        </w:numPr>
        <w:spacing w:line="560" w:lineRule="exact"/>
        <w:ind w:left="0" w:firstLine="709"/>
        <w:jc w:val="both"/>
        <w:rPr>
          <w:rFonts w:ascii="仿宋_GB2312" w:eastAsia="仿宋_GB2312" w:hAnsi="仿宋"/>
          <w:color w:val="000000" w:themeColor="text1"/>
          <w:sz w:val="32"/>
          <w:szCs w:val="32"/>
        </w:rPr>
      </w:pPr>
      <w:r w:rsidRPr="002D68FD">
        <w:rPr>
          <w:rFonts w:ascii="仿宋_GB2312" w:eastAsia="仿宋_GB2312" w:hAnsi="仿宋" w:hint="eastAsia"/>
          <w:color w:val="000000" w:themeColor="text1"/>
          <w:sz w:val="32"/>
          <w:szCs w:val="32"/>
        </w:rPr>
        <w:t>各地区确定的省内优先发电电量，原则上在每年年度双边交易开始前，对执行政府定价的电量签订厂网间年度购售电合同，约定年度电量规模及分月计划、交易价格等。</w:t>
      </w:r>
    </w:p>
    <w:p w:rsidR="00000000" w:rsidRDefault="002D68FD">
      <w:pPr>
        <w:pStyle w:val="af1"/>
        <w:spacing w:line="560" w:lineRule="exact"/>
        <w:ind w:firstLineChars="200" w:firstLine="640"/>
        <w:jc w:val="both"/>
        <w:rPr>
          <w:rFonts w:ascii="仿宋_GB2312" w:eastAsia="仿宋_GB2312" w:hAnsi="仿宋"/>
          <w:color w:val="000000" w:themeColor="text1"/>
          <w:sz w:val="32"/>
          <w:szCs w:val="32"/>
        </w:rPr>
      </w:pPr>
      <w:r w:rsidRPr="002D68FD">
        <w:rPr>
          <w:rFonts w:ascii="仿宋_GB2312" w:eastAsia="仿宋_GB2312" w:hAnsi="仿宋" w:hint="eastAsia"/>
          <w:color w:val="000000" w:themeColor="text1"/>
          <w:sz w:val="32"/>
          <w:szCs w:val="32"/>
        </w:rPr>
        <w:t>年度交易开始前仍未确定优先发电的，可参考历史情况测算，预留优先发电空间，确保市场交易正常开展。</w:t>
      </w:r>
    </w:p>
    <w:p w:rsidR="00C60152" w:rsidRPr="0078040E" w:rsidRDefault="002D68FD" w:rsidP="00180CBF">
      <w:pPr>
        <w:pStyle w:val="af1"/>
        <w:numPr>
          <w:ilvl w:val="0"/>
          <w:numId w:val="1"/>
        </w:numPr>
        <w:spacing w:line="560" w:lineRule="exact"/>
        <w:ind w:left="0" w:firstLine="709"/>
        <w:jc w:val="both"/>
        <w:rPr>
          <w:rFonts w:ascii="仿宋_GB2312" w:eastAsia="仿宋_GB2312" w:hAnsi="仿宋"/>
          <w:color w:val="000000" w:themeColor="text1"/>
        </w:rPr>
      </w:pPr>
      <w:r w:rsidRPr="002D68FD">
        <w:rPr>
          <w:rFonts w:ascii="仿宋_GB2312" w:eastAsia="仿宋_GB2312" w:hAnsi="仿宋" w:hint="eastAsia"/>
          <w:color w:val="000000" w:themeColor="text1"/>
          <w:sz w:val="32"/>
          <w:szCs w:val="32"/>
        </w:rPr>
        <w:t>各地区根据非市场用户年度用电预测情况，扣除各环节优先发电电量后，作为年度基数电量在燃煤（气）等发电企业中进行分配。</w:t>
      </w:r>
    </w:p>
    <w:p w:rsidR="00C60152" w:rsidRPr="0078040E" w:rsidRDefault="002D68FD" w:rsidP="00180CBF">
      <w:pPr>
        <w:pStyle w:val="af1"/>
        <w:numPr>
          <w:ilvl w:val="0"/>
          <w:numId w:val="1"/>
        </w:numPr>
        <w:spacing w:line="560" w:lineRule="exact"/>
        <w:jc w:val="both"/>
        <w:rPr>
          <w:rFonts w:ascii="仿宋_GB2312" w:eastAsia="仿宋_GB2312" w:hAnsi="仿宋"/>
          <w:color w:val="000000" w:themeColor="text1"/>
          <w:sz w:val="32"/>
          <w:szCs w:val="32"/>
        </w:rPr>
      </w:pPr>
      <w:r w:rsidRPr="002D68FD">
        <w:rPr>
          <w:rFonts w:ascii="仿宋_GB2312" w:eastAsia="仿宋_GB2312" w:hAnsi="仿宋" w:hint="eastAsia"/>
          <w:color w:val="000000" w:themeColor="text1"/>
          <w:sz w:val="32"/>
          <w:szCs w:val="32"/>
        </w:rPr>
        <w:t>优先发电电量和基数电量的分月计划可在月度执行前进行调整和确认，分月计划经合同签订主体确认后，其执行偏差可通过预挂牌上下调机制（或其他偏差处理机制）处理。</w:t>
      </w:r>
    </w:p>
    <w:p w:rsidR="00C60152" w:rsidRPr="0078040E" w:rsidRDefault="002D68FD">
      <w:pPr>
        <w:pStyle w:val="2"/>
        <w:spacing w:before="120" w:after="120" w:line="240" w:lineRule="auto"/>
        <w:jc w:val="center"/>
        <w:rPr>
          <w:rFonts w:ascii="仿宋_GB2312" w:eastAsia="仿宋_GB2312" w:hAnsi="仿宋"/>
          <w:b w:val="0"/>
          <w:bCs w:val="0"/>
          <w:color w:val="000000" w:themeColor="text1"/>
          <w:kern w:val="2"/>
        </w:rPr>
      </w:pPr>
      <w:r w:rsidRPr="002D68FD">
        <w:rPr>
          <w:rFonts w:ascii="仿宋_GB2312" w:eastAsia="仿宋_GB2312" w:hAnsi="仿宋" w:hint="eastAsia"/>
          <w:b w:val="0"/>
          <w:color w:val="000000" w:themeColor="text1"/>
        </w:rPr>
        <w:t>第三节</w:t>
      </w:r>
      <w:r w:rsidRPr="002D68FD">
        <w:rPr>
          <w:rFonts w:ascii="仿宋_GB2312" w:eastAsia="仿宋_GB2312" w:hAnsi="仿宋"/>
          <w:b w:val="0"/>
          <w:color w:val="000000" w:themeColor="text1"/>
        </w:rPr>
        <w:t xml:space="preserve"> </w:t>
      </w:r>
      <w:r w:rsidRPr="002D68FD">
        <w:rPr>
          <w:rFonts w:ascii="仿宋_GB2312" w:eastAsia="仿宋_GB2312" w:hAnsi="仿宋" w:hint="eastAsia"/>
          <w:b w:val="0"/>
          <w:color w:val="000000" w:themeColor="text1"/>
        </w:rPr>
        <w:t>合同执行</w:t>
      </w:r>
    </w:p>
    <w:p w:rsidR="00C60152" w:rsidRPr="0078040E" w:rsidRDefault="002D68FD" w:rsidP="00180CBF">
      <w:pPr>
        <w:pStyle w:val="af1"/>
        <w:numPr>
          <w:ilvl w:val="0"/>
          <w:numId w:val="1"/>
        </w:numPr>
        <w:tabs>
          <w:tab w:val="left" w:pos="720"/>
        </w:tabs>
        <w:spacing w:line="560" w:lineRule="exact"/>
        <w:ind w:left="0" w:firstLineChars="200" w:firstLine="640"/>
        <w:jc w:val="both"/>
        <w:rPr>
          <w:rFonts w:ascii="仿宋_GB2312" w:eastAsia="仿宋_GB2312" w:hAnsi="仿宋"/>
          <w:color w:val="000000" w:themeColor="text1"/>
          <w:sz w:val="32"/>
          <w:szCs w:val="32"/>
        </w:rPr>
      </w:pPr>
      <w:r w:rsidRPr="002D68FD">
        <w:rPr>
          <w:rFonts w:ascii="仿宋_GB2312" w:eastAsia="仿宋_GB2312" w:hAnsi="仿宋" w:hint="eastAsia"/>
          <w:color w:val="000000" w:themeColor="text1"/>
          <w:sz w:val="32"/>
          <w:szCs w:val="32"/>
        </w:rPr>
        <w:t>各省电力交易机构应当汇总省内市场成员参与的各类交易合同（含优先发电合同、基数电量合同、市场交易合同），形成省内发电企业的月度发电计划，并依据月内（多日）交易，进行更新和调整</w:t>
      </w:r>
      <w:r w:rsidRPr="002D68FD">
        <w:rPr>
          <w:rFonts w:ascii="仿宋_GB2312" w:eastAsia="仿宋_GB2312" w:hAnsi="仿宋" w:cs="仿宋" w:hint="eastAsia"/>
          <w:bCs/>
          <w:color w:val="000000" w:themeColor="text1"/>
          <w:sz w:val="32"/>
          <w:szCs w:val="32"/>
        </w:rPr>
        <w:t>。</w:t>
      </w:r>
      <w:r w:rsidRPr="002D68FD">
        <w:rPr>
          <w:rFonts w:ascii="仿宋_GB2312" w:eastAsia="仿宋_GB2312" w:hAnsi="仿宋" w:hint="eastAsia"/>
          <w:color w:val="000000" w:themeColor="text1"/>
          <w:sz w:val="32"/>
          <w:szCs w:val="32"/>
        </w:rPr>
        <w:t>电力调度机构应当根</w:t>
      </w:r>
      <w:r w:rsidRPr="002D68FD">
        <w:rPr>
          <w:rFonts w:ascii="仿宋_GB2312" w:eastAsia="仿宋_GB2312" w:hAnsi="仿宋" w:hint="eastAsia"/>
          <w:color w:val="000000" w:themeColor="text1"/>
          <w:sz w:val="32"/>
          <w:szCs w:val="32"/>
        </w:rPr>
        <w:lastRenderedPageBreak/>
        <w:t>据经安全校核后的月度（含调整后的）发电计划及清洁能源消纳需求，合理安排电网运行方式和机组开机方式。相关电力交易机构汇总跨区跨省交易合同，形成跨区跨省发电企业的月度发电计划，并依据月内（多日）交易，进行更新和调整</w:t>
      </w:r>
      <w:r w:rsidRPr="002D68FD">
        <w:rPr>
          <w:rFonts w:ascii="仿宋_GB2312" w:eastAsia="仿宋_GB2312" w:hAnsi="仿宋" w:cs="仿宋" w:hint="eastAsia"/>
          <w:bCs/>
          <w:color w:val="000000" w:themeColor="text1"/>
          <w:sz w:val="32"/>
          <w:szCs w:val="32"/>
        </w:rPr>
        <w:t>。</w:t>
      </w:r>
    </w:p>
    <w:p w:rsidR="00C60152" w:rsidRPr="0078040E" w:rsidRDefault="002D68FD" w:rsidP="00180CBF">
      <w:pPr>
        <w:pStyle w:val="af1"/>
        <w:numPr>
          <w:ilvl w:val="0"/>
          <w:numId w:val="1"/>
        </w:numPr>
        <w:tabs>
          <w:tab w:val="left" w:pos="720"/>
        </w:tabs>
        <w:spacing w:line="560" w:lineRule="exact"/>
        <w:ind w:left="0" w:firstLineChars="200" w:firstLine="640"/>
        <w:jc w:val="both"/>
        <w:rPr>
          <w:rFonts w:ascii="仿宋_GB2312" w:eastAsia="仿宋_GB2312" w:hAnsi="仿宋"/>
          <w:color w:val="000000" w:themeColor="text1"/>
          <w:sz w:val="32"/>
          <w:szCs w:val="32"/>
        </w:rPr>
      </w:pPr>
      <w:r w:rsidRPr="002D68FD">
        <w:rPr>
          <w:rFonts w:ascii="仿宋_GB2312" w:eastAsia="仿宋_GB2312" w:hAnsi="仿宋" w:hint="eastAsia"/>
          <w:color w:val="000000" w:themeColor="text1"/>
          <w:sz w:val="32"/>
          <w:szCs w:val="32"/>
        </w:rPr>
        <w:t>年度合同的执行周期内，次月度交易开始前，在购售双方一致同意且不影响其他市场主体交易合同执行的基础上，允许通过电力交易平台调整后续各个月的合同分月计划（合同总量不变），调整后的分月计划需通过电力调度机构安全校核。</w:t>
      </w:r>
    </w:p>
    <w:p w:rsidR="00C60152" w:rsidRPr="0078040E" w:rsidRDefault="002D68FD" w:rsidP="00180CBF">
      <w:pPr>
        <w:pStyle w:val="af1"/>
        <w:numPr>
          <w:ilvl w:val="0"/>
          <w:numId w:val="1"/>
        </w:numPr>
        <w:tabs>
          <w:tab w:val="left" w:pos="720"/>
        </w:tabs>
        <w:spacing w:line="560" w:lineRule="exact"/>
        <w:ind w:left="0" w:firstLineChars="200" w:firstLine="640"/>
        <w:jc w:val="both"/>
        <w:rPr>
          <w:rFonts w:ascii="仿宋_GB2312" w:eastAsia="仿宋_GB2312" w:hAnsi="仿宋"/>
          <w:color w:val="000000" w:themeColor="text1"/>
          <w:sz w:val="32"/>
          <w:szCs w:val="32"/>
        </w:rPr>
      </w:pPr>
      <w:r w:rsidRPr="002D68FD">
        <w:rPr>
          <w:rFonts w:ascii="仿宋_GB2312" w:eastAsia="仿宋_GB2312" w:hAnsi="仿宋" w:hint="eastAsia"/>
          <w:color w:val="000000" w:themeColor="text1"/>
          <w:sz w:val="32"/>
          <w:szCs w:val="32"/>
        </w:rPr>
        <w:t>电力交易机构定期跟踪和公布月度（含多日交易调整后的）发电计划完成进度情况。市场主体对发电计划完成进度提出异议时，电力调度机构负责出具说明，电力交易机构负责公布相关信息。</w:t>
      </w:r>
    </w:p>
    <w:p w:rsidR="00C60152" w:rsidRPr="0078040E" w:rsidRDefault="002D68FD" w:rsidP="00180CBF">
      <w:pPr>
        <w:pStyle w:val="af1"/>
        <w:numPr>
          <w:ilvl w:val="0"/>
          <w:numId w:val="1"/>
        </w:numPr>
        <w:tabs>
          <w:tab w:val="left" w:pos="720"/>
        </w:tabs>
        <w:spacing w:line="560" w:lineRule="exact"/>
        <w:ind w:left="0" w:firstLineChars="200" w:firstLine="640"/>
        <w:jc w:val="both"/>
        <w:rPr>
          <w:rFonts w:ascii="仿宋_GB2312" w:eastAsia="仿宋_GB2312" w:hAnsi="仿宋"/>
          <w:color w:val="000000" w:themeColor="text1"/>
          <w:sz w:val="32"/>
          <w:szCs w:val="32"/>
        </w:rPr>
      </w:pPr>
      <w:r w:rsidRPr="002D68FD">
        <w:rPr>
          <w:rFonts w:ascii="仿宋_GB2312" w:eastAsia="仿宋_GB2312" w:hAnsi="仿宋" w:hint="eastAsia"/>
          <w:color w:val="000000" w:themeColor="text1"/>
          <w:sz w:val="32"/>
          <w:szCs w:val="32"/>
        </w:rPr>
        <w:t xml:space="preserve"> 全部合同约定交易曲线的，按合同约定曲线形成次日发电计划；部分合同约定交易曲线的，由电力调度机构根据系统运行需要，安排无交易曲线部分的发电曲线，与约定交易曲线的市场化交易合同共同形成次日发电计划。</w:t>
      </w:r>
    </w:p>
    <w:p w:rsidR="00C60152" w:rsidRPr="0078040E" w:rsidRDefault="002D68FD" w:rsidP="00180CBF">
      <w:pPr>
        <w:pStyle w:val="af1"/>
        <w:numPr>
          <w:ilvl w:val="0"/>
          <w:numId w:val="1"/>
        </w:numPr>
        <w:tabs>
          <w:tab w:val="left" w:pos="720"/>
        </w:tabs>
        <w:spacing w:line="560" w:lineRule="exact"/>
        <w:ind w:left="0" w:firstLineChars="200" w:firstLine="640"/>
        <w:jc w:val="both"/>
        <w:rPr>
          <w:rFonts w:ascii="仿宋_GB2312" w:eastAsia="仿宋_GB2312" w:hAnsi="仿宋"/>
          <w:color w:val="000000" w:themeColor="text1"/>
          <w:sz w:val="32"/>
          <w:szCs w:val="32"/>
        </w:rPr>
      </w:pPr>
      <w:r w:rsidRPr="002D68FD">
        <w:rPr>
          <w:rFonts w:ascii="仿宋_GB2312" w:eastAsia="仿宋_GB2312" w:hAnsi="仿宋" w:hint="eastAsia"/>
          <w:color w:val="000000" w:themeColor="text1"/>
          <w:sz w:val="32"/>
          <w:szCs w:val="32"/>
        </w:rPr>
        <w:t>电力系统发生紧急情况时，电力调度机构可基于安全优先的原则实施调度，并于事后向国家能源局派出监管机构、地方政府电力管理部门报告事件经过，并向市场主体进行相关信息披露。</w:t>
      </w:r>
    </w:p>
    <w:p w:rsidR="00C60152" w:rsidRPr="0078040E" w:rsidRDefault="002D68FD">
      <w:pPr>
        <w:pStyle w:val="1"/>
        <w:spacing w:before="120" w:after="120" w:line="240" w:lineRule="auto"/>
        <w:jc w:val="center"/>
        <w:rPr>
          <w:rFonts w:ascii="仿宋_GB2312" w:eastAsia="仿宋_GB2312" w:hAnsi="仿宋"/>
          <w:color w:val="000000" w:themeColor="text1"/>
          <w:sz w:val="32"/>
          <w:szCs w:val="32"/>
        </w:rPr>
      </w:pPr>
      <w:bookmarkStart w:id="26" w:name="_Toc429855138"/>
      <w:bookmarkStart w:id="27" w:name="_Toc430176625"/>
      <w:bookmarkStart w:id="28" w:name="_Toc430684136"/>
      <w:r w:rsidRPr="002D68FD">
        <w:rPr>
          <w:rFonts w:ascii="仿宋_GB2312" w:eastAsia="仿宋_GB2312" w:hAnsi="仿宋"/>
          <w:color w:val="000000" w:themeColor="text1"/>
          <w:sz w:val="32"/>
          <w:szCs w:val="32"/>
        </w:rPr>
        <w:lastRenderedPageBreak/>
        <w:t>第九章 计量和结算</w:t>
      </w:r>
      <w:bookmarkEnd w:id="26"/>
      <w:bookmarkEnd w:id="27"/>
      <w:bookmarkEnd w:id="28"/>
    </w:p>
    <w:p w:rsidR="00C60152" w:rsidRPr="0078040E" w:rsidRDefault="002D68FD">
      <w:pPr>
        <w:pStyle w:val="2"/>
        <w:spacing w:before="120" w:after="120" w:line="240" w:lineRule="auto"/>
        <w:jc w:val="center"/>
        <w:rPr>
          <w:rFonts w:ascii="仿宋_GB2312" w:eastAsia="仿宋_GB2312" w:hAnsi="仿宋"/>
          <w:b w:val="0"/>
          <w:color w:val="000000" w:themeColor="text1"/>
        </w:rPr>
      </w:pPr>
      <w:bookmarkStart w:id="29" w:name="_Toc476684280"/>
      <w:bookmarkStart w:id="30" w:name="_Toc476684723"/>
      <w:bookmarkStart w:id="31" w:name="_Toc476694321"/>
      <w:r w:rsidRPr="002D68FD">
        <w:rPr>
          <w:rFonts w:ascii="仿宋_GB2312" w:eastAsia="仿宋_GB2312" w:hAnsi="仿宋" w:hint="eastAsia"/>
          <w:b w:val="0"/>
          <w:color w:val="000000" w:themeColor="text1"/>
        </w:rPr>
        <w:t>第一节</w:t>
      </w:r>
      <w:r w:rsidRPr="002D68FD">
        <w:rPr>
          <w:rFonts w:ascii="仿宋_GB2312" w:eastAsia="仿宋_GB2312" w:hAnsi="仿宋"/>
          <w:b w:val="0"/>
          <w:color w:val="000000" w:themeColor="text1"/>
        </w:rPr>
        <w:t xml:space="preserve"> </w:t>
      </w:r>
      <w:r w:rsidRPr="002D68FD">
        <w:rPr>
          <w:rFonts w:ascii="仿宋_GB2312" w:eastAsia="仿宋_GB2312" w:hAnsi="仿宋" w:hint="eastAsia"/>
          <w:b w:val="0"/>
          <w:color w:val="000000" w:themeColor="text1"/>
        </w:rPr>
        <w:t>计量</w:t>
      </w:r>
    </w:p>
    <w:p w:rsidR="00C60152" w:rsidRPr="0078040E" w:rsidRDefault="002D68FD" w:rsidP="00180CBF">
      <w:pPr>
        <w:pStyle w:val="af1"/>
        <w:numPr>
          <w:ilvl w:val="0"/>
          <w:numId w:val="1"/>
        </w:numPr>
        <w:spacing w:line="560" w:lineRule="exact"/>
        <w:jc w:val="both"/>
        <w:rPr>
          <w:rFonts w:ascii="仿宋_GB2312" w:eastAsia="仿宋_GB2312" w:hAnsi="仿宋"/>
          <w:color w:val="000000" w:themeColor="text1"/>
          <w:sz w:val="32"/>
          <w:szCs w:val="32"/>
        </w:rPr>
      </w:pPr>
      <w:r w:rsidRPr="002D68FD">
        <w:rPr>
          <w:rFonts w:ascii="仿宋_GB2312" w:eastAsia="仿宋_GB2312" w:hAnsi="仿宋" w:hint="eastAsia"/>
          <w:color w:val="000000" w:themeColor="text1"/>
          <w:sz w:val="32"/>
          <w:szCs w:val="32"/>
        </w:rPr>
        <w:t xml:space="preserve"> 电网企业应当根据市场运行需要为市场主体安装符合技术规范的计量装置；计量装置原则上安装在产权分界点，产权分界点无法安装计量装置的，考虑相应的变（线）损。电网企业应当在跨区跨省输电线路两端安装符合技术规范的计量装置，跨区跨省交易均应明确其结算对应计量点。</w:t>
      </w:r>
    </w:p>
    <w:p w:rsidR="00C60152" w:rsidRPr="0078040E" w:rsidRDefault="002D68FD" w:rsidP="00180CBF">
      <w:pPr>
        <w:pStyle w:val="af1"/>
        <w:numPr>
          <w:ilvl w:val="0"/>
          <w:numId w:val="1"/>
        </w:numPr>
        <w:spacing w:line="560" w:lineRule="exact"/>
        <w:jc w:val="both"/>
        <w:rPr>
          <w:rFonts w:ascii="仿宋_GB2312" w:eastAsia="仿宋_GB2312" w:hAnsi="仿宋"/>
          <w:color w:val="000000" w:themeColor="text1"/>
          <w:sz w:val="32"/>
          <w:szCs w:val="32"/>
        </w:rPr>
      </w:pPr>
      <w:r w:rsidRPr="002D68FD">
        <w:rPr>
          <w:rFonts w:ascii="仿宋_GB2312" w:eastAsia="仿宋_GB2312" w:hAnsi="仿宋"/>
          <w:color w:val="000000" w:themeColor="text1"/>
        </w:rPr>
        <w:t xml:space="preserve"> </w:t>
      </w:r>
      <w:r w:rsidRPr="002D68FD">
        <w:rPr>
          <w:rFonts w:ascii="仿宋_GB2312" w:eastAsia="仿宋_GB2312" w:hAnsi="仿宋" w:hint="eastAsia"/>
          <w:color w:val="000000" w:themeColor="text1"/>
          <w:sz w:val="32"/>
          <w:szCs w:val="32"/>
        </w:rPr>
        <w:t>计量周期和抄表时间应当保证最小交易周期的结算需要，保证计量数据准确、完整。</w:t>
      </w:r>
    </w:p>
    <w:p w:rsidR="00C60152" w:rsidRPr="0078040E" w:rsidRDefault="002D68FD" w:rsidP="00180CBF">
      <w:pPr>
        <w:pStyle w:val="af1"/>
        <w:numPr>
          <w:ilvl w:val="0"/>
          <w:numId w:val="1"/>
        </w:numPr>
        <w:spacing w:line="560" w:lineRule="exact"/>
        <w:jc w:val="both"/>
        <w:rPr>
          <w:rFonts w:ascii="仿宋_GB2312" w:eastAsia="仿宋_GB2312" w:hAnsi="仿宋"/>
          <w:color w:val="000000" w:themeColor="text1"/>
          <w:sz w:val="32"/>
          <w:szCs w:val="32"/>
        </w:rPr>
      </w:pPr>
      <w:r w:rsidRPr="002D68FD">
        <w:rPr>
          <w:rFonts w:ascii="仿宋_GB2312" w:eastAsia="仿宋_GB2312" w:hAnsi="仿宋" w:hint="eastAsia"/>
          <w:color w:val="000000" w:themeColor="text1"/>
          <w:sz w:val="32"/>
          <w:szCs w:val="32"/>
        </w:rPr>
        <w:t xml:space="preserve"> 发电企业、跨区跨省交易送受端计量点应当安装相同型号、相同规格、相同精度的主、副电能表各一套，主、副表应当有明确标志，以主表计量数据作为结算依据，副表计量数据作为参照，当确认主表故障后，副表计量数据替代主表计量数据作为电量结算依据。</w:t>
      </w:r>
    </w:p>
    <w:p w:rsidR="00C60152" w:rsidRPr="0078040E" w:rsidRDefault="002D68FD" w:rsidP="00180CBF">
      <w:pPr>
        <w:pStyle w:val="af1"/>
        <w:numPr>
          <w:ilvl w:val="0"/>
          <w:numId w:val="1"/>
        </w:numPr>
        <w:spacing w:line="560" w:lineRule="exact"/>
        <w:jc w:val="both"/>
        <w:rPr>
          <w:rFonts w:ascii="仿宋_GB2312" w:eastAsia="仿宋_GB2312" w:hAnsi="仿宋"/>
          <w:color w:val="000000" w:themeColor="text1"/>
          <w:sz w:val="32"/>
          <w:szCs w:val="32"/>
        </w:rPr>
      </w:pPr>
      <w:r w:rsidRPr="002D68FD">
        <w:rPr>
          <w:rFonts w:ascii="仿宋_GB2312" w:eastAsia="仿宋_GB2312" w:hAnsi="仿宋" w:hint="eastAsia"/>
          <w:color w:val="000000" w:themeColor="text1"/>
          <w:sz w:val="32"/>
          <w:szCs w:val="32"/>
        </w:rPr>
        <w:t xml:space="preserve"> 发电企业内多台发电机组共用计量点且无法拆分，各发电机组需分别结算时，按照每台机组的实际发电量等比例拆分共用计量点的上网电量。对于风电、光伏发电企业处于相同运行状态的不同项目批次共用计量点的机组，可按照额定容量比例分摊上网电量。</w:t>
      </w:r>
    </w:p>
    <w:p w:rsidR="00C60152" w:rsidRPr="0078040E" w:rsidRDefault="002D68FD">
      <w:pPr>
        <w:pStyle w:val="af1"/>
        <w:spacing w:line="560" w:lineRule="exact"/>
        <w:ind w:firstLineChars="200" w:firstLine="640"/>
        <w:jc w:val="both"/>
        <w:rPr>
          <w:rFonts w:ascii="仿宋_GB2312" w:eastAsia="仿宋_GB2312" w:hAnsi="仿宋"/>
          <w:color w:val="000000" w:themeColor="text1"/>
        </w:rPr>
      </w:pPr>
      <w:r w:rsidRPr="002D68FD">
        <w:rPr>
          <w:rFonts w:ascii="仿宋_GB2312" w:eastAsia="仿宋_GB2312" w:hAnsi="仿宋" w:hint="eastAsia"/>
          <w:color w:val="000000" w:themeColor="text1"/>
          <w:sz w:val="32"/>
          <w:szCs w:val="32"/>
        </w:rPr>
        <w:t>处于调试期的机组，如果和其他机组共用计量点，则按照机组调试期的发电量等比例拆分共用计量点的上网电量，确定调试期的上网电量。</w:t>
      </w:r>
    </w:p>
    <w:p w:rsidR="00C60152" w:rsidRPr="0078040E" w:rsidRDefault="002D68FD" w:rsidP="00180CBF">
      <w:pPr>
        <w:pStyle w:val="af1"/>
        <w:numPr>
          <w:ilvl w:val="0"/>
          <w:numId w:val="1"/>
        </w:numPr>
        <w:spacing w:line="560" w:lineRule="exact"/>
        <w:jc w:val="both"/>
        <w:rPr>
          <w:rFonts w:ascii="仿宋_GB2312" w:eastAsia="仿宋_GB2312" w:hAnsi="仿宋"/>
          <w:color w:val="000000" w:themeColor="text1"/>
          <w:sz w:val="32"/>
          <w:szCs w:val="32"/>
        </w:rPr>
      </w:pPr>
      <w:r w:rsidRPr="002D68FD">
        <w:rPr>
          <w:rFonts w:ascii="仿宋_GB2312" w:eastAsia="仿宋_GB2312" w:hAnsi="仿宋" w:hint="eastAsia"/>
          <w:color w:val="000000" w:themeColor="text1"/>
          <w:sz w:val="32"/>
          <w:szCs w:val="32"/>
        </w:rPr>
        <w:t>电网企业应当按照电力市场结算要求定期</w:t>
      </w:r>
      <w:r w:rsidRPr="002D68FD">
        <w:rPr>
          <w:rFonts w:ascii="仿宋_GB2312" w:eastAsia="仿宋_GB2312" w:hAnsi="仿宋" w:hint="eastAsia"/>
          <w:color w:val="000000" w:themeColor="text1"/>
          <w:sz w:val="32"/>
          <w:szCs w:val="32"/>
        </w:rPr>
        <w:lastRenderedPageBreak/>
        <w:t>抄录发电企业（机组）和电力用户电能计量装置数据，并将计算后的结算电量提交电力交易机构。对计量数据存在疑义时，由具有相应资质的电能计量检测机构确认并出具报告，结算电量由电网企业组织相关市场成员协商解决。</w:t>
      </w:r>
    </w:p>
    <w:p w:rsidR="00C60152" w:rsidRPr="0078040E" w:rsidRDefault="002D68FD">
      <w:pPr>
        <w:pStyle w:val="2"/>
        <w:spacing w:before="120" w:after="120" w:line="240" w:lineRule="auto"/>
        <w:jc w:val="center"/>
        <w:rPr>
          <w:rFonts w:ascii="仿宋_GB2312" w:eastAsia="仿宋_GB2312" w:hAnsi="仿宋"/>
          <w:b w:val="0"/>
          <w:color w:val="000000" w:themeColor="text1"/>
        </w:rPr>
      </w:pPr>
      <w:r w:rsidRPr="002D68FD">
        <w:rPr>
          <w:rFonts w:ascii="仿宋_GB2312" w:eastAsia="仿宋_GB2312" w:hAnsi="仿宋" w:hint="eastAsia"/>
          <w:b w:val="0"/>
          <w:color w:val="000000" w:themeColor="text1"/>
        </w:rPr>
        <w:t>第二节</w:t>
      </w:r>
      <w:r w:rsidRPr="002D68FD">
        <w:rPr>
          <w:rFonts w:ascii="仿宋_GB2312" w:eastAsia="仿宋_GB2312" w:hAnsi="仿宋"/>
          <w:b w:val="0"/>
          <w:color w:val="000000" w:themeColor="text1"/>
        </w:rPr>
        <w:t xml:space="preserve"> </w:t>
      </w:r>
      <w:r w:rsidRPr="002D68FD">
        <w:rPr>
          <w:rFonts w:ascii="仿宋_GB2312" w:eastAsia="仿宋_GB2312" w:hAnsi="仿宋" w:hint="eastAsia"/>
          <w:b w:val="0"/>
          <w:color w:val="000000" w:themeColor="text1"/>
        </w:rPr>
        <w:t>结算</w:t>
      </w:r>
    </w:p>
    <w:p w:rsidR="00C60152" w:rsidRPr="0078040E" w:rsidRDefault="002D68FD" w:rsidP="00180CBF">
      <w:pPr>
        <w:pStyle w:val="af1"/>
        <w:numPr>
          <w:ilvl w:val="0"/>
          <w:numId w:val="1"/>
        </w:numPr>
        <w:spacing w:line="560" w:lineRule="exact"/>
        <w:jc w:val="both"/>
        <w:rPr>
          <w:rFonts w:ascii="仿宋_GB2312" w:eastAsia="仿宋_GB2312" w:hAnsi="仿宋"/>
          <w:color w:val="000000" w:themeColor="text1"/>
          <w:sz w:val="32"/>
          <w:szCs w:val="32"/>
        </w:rPr>
      </w:pPr>
      <w:r w:rsidRPr="002D68FD">
        <w:rPr>
          <w:rFonts w:ascii="仿宋_GB2312" w:eastAsia="仿宋_GB2312" w:hAnsi="仿宋" w:hint="eastAsia"/>
          <w:color w:val="000000" w:themeColor="text1"/>
          <w:sz w:val="32"/>
          <w:szCs w:val="32"/>
        </w:rPr>
        <w:t>电力交易机构负责向市场成员出具结算依据，市场成员根据相关规则进行电费结算。其中，跨区跨省交易由组织该交易的电力交易机构会同送受端电力交易机构向市场成员出具结算依据。</w:t>
      </w:r>
    </w:p>
    <w:p w:rsidR="00C60152" w:rsidRPr="0078040E" w:rsidRDefault="002D68FD" w:rsidP="00180CBF">
      <w:pPr>
        <w:pStyle w:val="af1"/>
        <w:numPr>
          <w:ilvl w:val="0"/>
          <w:numId w:val="1"/>
        </w:numPr>
        <w:spacing w:line="560" w:lineRule="exact"/>
        <w:jc w:val="both"/>
        <w:rPr>
          <w:rFonts w:ascii="仿宋_GB2312" w:eastAsia="仿宋_GB2312" w:hAnsi="仿宋"/>
          <w:color w:val="000000" w:themeColor="text1"/>
          <w:sz w:val="32"/>
          <w:szCs w:val="32"/>
        </w:rPr>
      </w:pPr>
      <w:r w:rsidRPr="002D68FD">
        <w:rPr>
          <w:rFonts w:ascii="仿宋_GB2312" w:eastAsia="仿宋_GB2312" w:hAnsi="仿宋" w:hint="eastAsia"/>
          <w:color w:val="000000" w:themeColor="text1"/>
          <w:sz w:val="32"/>
          <w:szCs w:val="32"/>
        </w:rPr>
        <w:t>电网企业（含地方电网和增量配电网）之间结算的输配电费用，按照政府价格主管部门核定的输配电价和实际物理计量电量结算。</w:t>
      </w:r>
    </w:p>
    <w:p w:rsidR="00C60152" w:rsidRPr="0078040E" w:rsidRDefault="002D68FD" w:rsidP="00180CBF">
      <w:pPr>
        <w:pStyle w:val="af1"/>
        <w:numPr>
          <w:ilvl w:val="0"/>
          <w:numId w:val="1"/>
        </w:numPr>
        <w:spacing w:line="560" w:lineRule="exact"/>
        <w:jc w:val="both"/>
        <w:rPr>
          <w:rFonts w:ascii="仿宋_GB2312" w:eastAsia="仿宋_GB2312" w:hAnsi="仿宋"/>
          <w:color w:val="000000" w:themeColor="text1"/>
          <w:sz w:val="32"/>
          <w:szCs w:val="32"/>
        </w:rPr>
      </w:pPr>
      <w:r w:rsidRPr="002D68FD">
        <w:rPr>
          <w:rFonts w:ascii="仿宋_GB2312" w:eastAsia="仿宋_GB2312" w:hAnsi="仿宋"/>
          <w:color w:val="000000" w:themeColor="text1"/>
          <w:sz w:val="32"/>
          <w:szCs w:val="32"/>
        </w:rPr>
        <w:t xml:space="preserve"> </w:t>
      </w:r>
      <w:r w:rsidRPr="002D68FD">
        <w:rPr>
          <w:rFonts w:ascii="仿宋_GB2312" w:eastAsia="仿宋_GB2312" w:hAnsi="仿宋" w:hint="eastAsia"/>
          <w:color w:val="000000" w:themeColor="text1"/>
          <w:sz w:val="32"/>
          <w:szCs w:val="32"/>
        </w:rPr>
        <w:t>发电企业上网电量电费由电网企业支付；电力用户仍向电网企业缴纳电费，并由电网企业承担电力用户侧欠费风险；售电公司按照电力交易机构出具的结算依据与电网企业进行电费结算。</w:t>
      </w:r>
    </w:p>
    <w:p w:rsidR="00C60152" w:rsidRPr="0078040E" w:rsidRDefault="002D68FD" w:rsidP="00180CBF">
      <w:pPr>
        <w:pStyle w:val="af1"/>
        <w:numPr>
          <w:ilvl w:val="0"/>
          <w:numId w:val="1"/>
        </w:numPr>
        <w:spacing w:line="560" w:lineRule="exact"/>
        <w:jc w:val="both"/>
        <w:rPr>
          <w:rFonts w:ascii="仿宋_GB2312" w:eastAsia="仿宋_GB2312" w:hAnsi="仿宋"/>
          <w:color w:val="000000" w:themeColor="text1"/>
          <w:sz w:val="32"/>
          <w:szCs w:val="32"/>
        </w:rPr>
      </w:pPr>
      <w:r w:rsidRPr="002D68FD">
        <w:rPr>
          <w:rFonts w:ascii="仿宋_GB2312" w:eastAsia="仿宋_GB2312" w:hAnsi="仿宋" w:hint="eastAsia"/>
          <w:color w:val="000000" w:themeColor="text1"/>
          <w:sz w:val="32"/>
          <w:szCs w:val="32"/>
        </w:rPr>
        <w:t>电力用户的基本电价、政府性基金及附加、峰谷分时电价、功率因数调整等按照电压等级和类别按实收取，上述费用均由电网企业根据国家及省有关规定进行结算。</w:t>
      </w:r>
    </w:p>
    <w:p w:rsidR="00C60152" w:rsidRPr="0078040E" w:rsidRDefault="002D68FD" w:rsidP="00180CBF">
      <w:pPr>
        <w:pStyle w:val="af1"/>
        <w:numPr>
          <w:ilvl w:val="0"/>
          <w:numId w:val="1"/>
        </w:numPr>
        <w:spacing w:line="560" w:lineRule="exact"/>
        <w:jc w:val="both"/>
        <w:rPr>
          <w:rFonts w:ascii="仿宋_GB2312" w:eastAsia="仿宋_GB2312" w:hAnsi="仿宋"/>
          <w:color w:val="000000" w:themeColor="text1"/>
          <w:sz w:val="32"/>
          <w:szCs w:val="32"/>
        </w:rPr>
      </w:pPr>
      <w:r w:rsidRPr="002D68FD">
        <w:rPr>
          <w:rFonts w:ascii="仿宋_GB2312" w:eastAsia="仿宋_GB2312" w:hAnsi="仿宋" w:hint="eastAsia"/>
          <w:color w:val="000000" w:themeColor="text1"/>
          <w:sz w:val="32"/>
          <w:szCs w:val="32"/>
        </w:rPr>
        <w:t>电力交易机构向各市场成员提供的结算依据包括以下内容：</w:t>
      </w:r>
    </w:p>
    <w:p w:rsidR="00F54AF8" w:rsidRPr="0078040E" w:rsidRDefault="002D68FD">
      <w:pPr>
        <w:pStyle w:val="10"/>
        <w:widowControl w:val="0"/>
        <w:spacing w:after="0" w:line="620" w:lineRule="exact"/>
        <w:ind w:firstLine="640"/>
        <w:jc w:val="both"/>
        <w:rPr>
          <w:rFonts w:ascii="仿宋_GB2312" w:eastAsia="仿宋_GB2312" w:hAnsi="仿宋" w:cs="仿宋_GB2312"/>
          <w:color w:val="000000" w:themeColor="text1"/>
          <w:sz w:val="32"/>
          <w:szCs w:val="32"/>
        </w:rPr>
      </w:pPr>
      <w:r w:rsidRPr="002D68FD">
        <w:rPr>
          <w:rFonts w:ascii="仿宋_GB2312" w:eastAsia="仿宋_GB2312" w:hAnsi="仿宋" w:cs="仿宋_GB2312" w:hint="eastAsia"/>
          <w:color w:val="000000" w:themeColor="text1"/>
          <w:sz w:val="32"/>
          <w:szCs w:val="32"/>
        </w:rPr>
        <w:t>（一）实际结算电量；</w:t>
      </w:r>
    </w:p>
    <w:p w:rsidR="00C60152" w:rsidRPr="0078040E" w:rsidRDefault="002D68FD" w:rsidP="00256E31">
      <w:pPr>
        <w:pStyle w:val="10"/>
        <w:widowControl w:val="0"/>
        <w:spacing w:after="0" w:line="620" w:lineRule="exact"/>
        <w:ind w:firstLine="640"/>
        <w:jc w:val="both"/>
        <w:rPr>
          <w:rFonts w:ascii="仿宋_GB2312" w:eastAsia="仿宋_GB2312" w:hAnsi="仿宋" w:cs="仿宋_GB2312"/>
          <w:color w:val="000000" w:themeColor="text1"/>
          <w:sz w:val="32"/>
          <w:szCs w:val="32"/>
        </w:rPr>
      </w:pPr>
      <w:r w:rsidRPr="002D68FD">
        <w:rPr>
          <w:rFonts w:ascii="仿宋_GB2312" w:eastAsia="仿宋_GB2312" w:hAnsi="仿宋" w:cs="仿宋_GB2312" w:hint="eastAsia"/>
          <w:color w:val="000000" w:themeColor="text1"/>
          <w:sz w:val="32"/>
          <w:szCs w:val="32"/>
        </w:rPr>
        <w:t>（二）各类交易合同（含</w:t>
      </w:r>
      <w:bookmarkStart w:id="32" w:name="_GoBack"/>
      <w:r w:rsidRPr="002D68FD">
        <w:rPr>
          <w:rFonts w:ascii="仿宋_GB2312" w:eastAsia="仿宋_GB2312" w:hAnsi="仿宋" w:cs="仿宋_GB2312" w:hint="eastAsia"/>
          <w:color w:val="000000" w:themeColor="text1"/>
          <w:sz w:val="32"/>
          <w:szCs w:val="32"/>
        </w:rPr>
        <w:t>优先发电</w:t>
      </w:r>
      <w:bookmarkEnd w:id="32"/>
      <w:r w:rsidRPr="002D68FD">
        <w:rPr>
          <w:rFonts w:ascii="仿宋_GB2312" w:eastAsia="仿宋_GB2312" w:hAnsi="仿宋" w:cs="仿宋_GB2312" w:hint="eastAsia"/>
          <w:color w:val="000000" w:themeColor="text1"/>
          <w:sz w:val="32"/>
          <w:szCs w:val="32"/>
        </w:rPr>
        <w:t>合同、基数电量合同、市场交易合同）电量、电价和电费；</w:t>
      </w:r>
    </w:p>
    <w:p w:rsidR="00C60152" w:rsidRPr="0078040E" w:rsidRDefault="002D68FD" w:rsidP="00F54AF8">
      <w:pPr>
        <w:pStyle w:val="10"/>
        <w:widowControl w:val="0"/>
        <w:spacing w:after="0" w:line="620" w:lineRule="exact"/>
        <w:ind w:firstLine="640"/>
        <w:jc w:val="both"/>
        <w:rPr>
          <w:rFonts w:ascii="仿宋_GB2312" w:eastAsia="仿宋_GB2312" w:hAnsi="仿宋" w:cs="仿宋_GB2312"/>
          <w:color w:val="000000" w:themeColor="text1"/>
          <w:sz w:val="32"/>
          <w:szCs w:val="32"/>
        </w:rPr>
      </w:pPr>
      <w:r w:rsidRPr="002D68FD">
        <w:rPr>
          <w:rFonts w:ascii="仿宋_GB2312" w:eastAsia="仿宋_GB2312" w:hAnsi="仿宋" w:cs="仿宋_GB2312" w:hint="eastAsia"/>
          <w:color w:val="000000" w:themeColor="text1"/>
          <w:sz w:val="32"/>
          <w:szCs w:val="32"/>
        </w:rPr>
        <w:lastRenderedPageBreak/>
        <w:t>（三）上下调电量、电价和电费；偏差电量、电价和电费；分摊的结算资金差额或盈余等信息；</w:t>
      </w:r>
    </w:p>
    <w:p w:rsidR="00FA05F5" w:rsidRPr="0078040E" w:rsidRDefault="002D68FD" w:rsidP="00256E31">
      <w:pPr>
        <w:pStyle w:val="10"/>
        <w:widowControl w:val="0"/>
        <w:spacing w:after="0" w:line="620" w:lineRule="exact"/>
        <w:ind w:firstLine="640"/>
        <w:jc w:val="both"/>
        <w:rPr>
          <w:rFonts w:ascii="仿宋_GB2312" w:eastAsia="仿宋_GB2312" w:hAnsi="仿宋" w:cs="仿宋_GB2312"/>
          <w:color w:val="000000" w:themeColor="text1"/>
          <w:sz w:val="32"/>
          <w:szCs w:val="32"/>
        </w:rPr>
      </w:pPr>
      <w:r w:rsidRPr="002D68FD">
        <w:rPr>
          <w:rFonts w:ascii="仿宋_GB2312" w:eastAsia="仿宋_GB2312" w:hAnsi="仿宋" w:cs="仿宋_GB2312" w:hint="eastAsia"/>
          <w:color w:val="000000" w:themeColor="text1"/>
          <w:sz w:val="32"/>
          <w:szCs w:val="32"/>
        </w:rPr>
        <w:t>（四）新机组调试电量、电价、电费；</w:t>
      </w:r>
    </w:p>
    <w:p w:rsidR="00C60152" w:rsidRPr="0078040E" w:rsidRDefault="002D68FD">
      <w:pPr>
        <w:pStyle w:val="10"/>
        <w:spacing w:line="620" w:lineRule="exact"/>
        <w:ind w:firstLine="640"/>
        <w:rPr>
          <w:rFonts w:ascii="仿宋_GB2312" w:eastAsia="仿宋_GB2312" w:hAnsi="仿宋" w:cs="仿宋_GB2312"/>
          <w:color w:val="000000" w:themeColor="text1"/>
          <w:sz w:val="32"/>
          <w:szCs w:val="32"/>
        </w:rPr>
      </w:pPr>
      <w:r w:rsidRPr="002D68FD">
        <w:rPr>
          <w:rFonts w:ascii="仿宋_GB2312" w:eastAsia="仿宋_GB2312" w:hAnsi="仿宋" w:cs="仿宋_GB2312" w:hint="eastAsia"/>
          <w:color w:val="000000" w:themeColor="text1"/>
          <w:sz w:val="32"/>
          <w:szCs w:val="32"/>
        </w:rPr>
        <w:t>（五）接受售电公司委托出具的零售交易结算依据。</w:t>
      </w:r>
    </w:p>
    <w:p w:rsidR="00C60152" w:rsidRPr="0078040E" w:rsidRDefault="002D68FD" w:rsidP="00180CBF">
      <w:pPr>
        <w:pStyle w:val="10"/>
        <w:widowControl w:val="0"/>
        <w:numPr>
          <w:ilvl w:val="0"/>
          <w:numId w:val="1"/>
        </w:numPr>
        <w:spacing w:after="0" w:line="620" w:lineRule="exact"/>
        <w:ind w:left="0" w:firstLine="640"/>
        <w:jc w:val="both"/>
        <w:rPr>
          <w:rFonts w:ascii="仿宋_GB2312" w:eastAsia="仿宋_GB2312" w:hAnsi="仿宋" w:cs="仿宋_GB2312"/>
          <w:color w:val="000000" w:themeColor="text1"/>
          <w:sz w:val="32"/>
          <w:szCs w:val="32"/>
        </w:rPr>
      </w:pPr>
      <w:r w:rsidRPr="002D68FD">
        <w:rPr>
          <w:rFonts w:ascii="仿宋_GB2312" w:eastAsia="仿宋_GB2312" w:hAnsi="仿宋" w:cs="仿宋_GB2312" w:hint="eastAsia"/>
          <w:color w:val="000000" w:themeColor="text1"/>
          <w:sz w:val="32"/>
          <w:szCs w:val="32"/>
        </w:rPr>
        <w:t>市场主体因偏差电量引起的电费资金，暂由电网企业收取和支付，并应在电费结算依据中单项列示。</w:t>
      </w:r>
    </w:p>
    <w:p w:rsidR="00C60152" w:rsidRPr="0078040E" w:rsidRDefault="002D68FD" w:rsidP="00DC05E3">
      <w:pPr>
        <w:pStyle w:val="af1"/>
        <w:numPr>
          <w:ilvl w:val="0"/>
          <w:numId w:val="1"/>
        </w:numPr>
        <w:spacing w:line="560" w:lineRule="exact"/>
        <w:jc w:val="both"/>
        <w:rPr>
          <w:rFonts w:ascii="仿宋_GB2312" w:eastAsia="仿宋_GB2312" w:hAnsi="仿宋"/>
          <w:color w:val="000000" w:themeColor="text1"/>
          <w:sz w:val="32"/>
          <w:szCs w:val="32"/>
        </w:rPr>
      </w:pPr>
      <w:r w:rsidRPr="002D68FD">
        <w:rPr>
          <w:rFonts w:ascii="仿宋_GB2312" w:eastAsia="仿宋_GB2312" w:hAnsi="仿宋" w:hint="eastAsia"/>
          <w:color w:val="000000" w:themeColor="text1"/>
          <w:sz w:val="32"/>
          <w:szCs w:val="32"/>
        </w:rPr>
        <w:t>市场主体的合同电量和偏差电量分开结算。以年度交易和月度交易为主的地区，按月清算、结账；开展多（日）交易的地区，按多（日）交易规则清算，按月结账。</w:t>
      </w:r>
    </w:p>
    <w:p w:rsidR="00277BD8" w:rsidRPr="0078040E" w:rsidRDefault="002D68FD" w:rsidP="00180CBF">
      <w:pPr>
        <w:pStyle w:val="af1"/>
        <w:numPr>
          <w:ilvl w:val="0"/>
          <w:numId w:val="1"/>
        </w:numPr>
        <w:spacing w:line="560" w:lineRule="exact"/>
        <w:jc w:val="both"/>
        <w:rPr>
          <w:rFonts w:ascii="仿宋_GB2312" w:eastAsia="仿宋_GB2312" w:hAnsi="仿宋" w:cs="仿宋_GB2312"/>
          <w:color w:val="000000" w:themeColor="text1"/>
          <w:sz w:val="32"/>
          <w:szCs w:val="32"/>
        </w:rPr>
      </w:pPr>
      <w:r w:rsidRPr="002D68FD">
        <w:rPr>
          <w:rFonts w:ascii="仿宋_GB2312" w:eastAsia="仿宋_GB2312" w:hAnsi="仿宋" w:cs="仿宋_GB2312" w:hint="eastAsia"/>
          <w:color w:val="000000" w:themeColor="text1"/>
          <w:sz w:val="32"/>
          <w:szCs w:val="32"/>
        </w:rPr>
        <w:t>采用发电侧预挂牌上下调偏差处理机制的地区，偏差电量电费结算可采用如下方法：</w:t>
      </w:r>
    </w:p>
    <w:p w:rsidR="00277BD8" w:rsidRPr="0078040E" w:rsidRDefault="002D68FD" w:rsidP="00277BD8">
      <w:pPr>
        <w:autoSpaceDE w:val="0"/>
        <w:autoSpaceDN w:val="0"/>
        <w:adjustRightInd w:val="0"/>
        <w:ind w:firstLineChars="200" w:firstLine="640"/>
        <w:rPr>
          <w:rFonts w:ascii="仿宋_GB2312" w:eastAsia="仿宋_GB2312" w:hAnsi="仿宋" w:cs="仿宋_GB2312"/>
          <w:color w:val="000000" w:themeColor="text1"/>
          <w:sz w:val="32"/>
          <w:szCs w:val="32"/>
        </w:rPr>
      </w:pPr>
      <w:r w:rsidRPr="002D68FD">
        <w:rPr>
          <w:rFonts w:ascii="仿宋_GB2312" w:eastAsia="仿宋_GB2312" w:hAnsi="仿宋" w:cs="仿宋_GB2312" w:hint="eastAsia"/>
          <w:color w:val="000000" w:themeColor="text1"/>
          <w:sz w:val="32"/>
          <w:szCs w:val="32"/>
        </w:rPr>
        <w:t>（一）批发交易用户（包括电力大用户、售电公司）偏差电量分为超用电量和少用电量，超用电量支付购电费用，少用电量获得售电收入。</w:t>
      </w:r>
    </w:p>
    <w:p w:rsidR="00277BD8" w:rsidRPr="0078040E" w:rsidRDefault="002D68FD" w:rsidP="00277BD8">
      <w:pPr>
        <w:autoSpaceDE w:val="0"/>
        <w:autoSpaceDN w:val="0"/>
        <w:adjustRightInd w:val="0"/>
        <w:ind w:firstLineChars="200" w:firstLine="640"/>
        <w:rPr>
          <w:rFonts w:ascii="仿宋_GB2312" w:eastAsia="仿宋_GB2312" w:hAnsi="仿宋" w:cs="仿宋_GB2312"/>
          <w:color w:val="000000" w:themeColor="text1"/>
          <w:sz w:val="32"/>
          <w:szCs w:val="32"/>
        </w:rPr>
      </w:pPr>
      <w:r w:rsidRPr="002D68FD">
        <w:rPr>
          <w:rFonts w:ascii="仿宋_GB2312" w:eastAsia="仿宋_GB2312" w:hAnsi="仿宋" w:cs="仿宋_GB2312" w:hint="eastAsia"/>
          <w:color w:val="000000" w:themeColor="text1"/>
          <w:sz w:val="32"/>
          <w:szCs w:val="32"/>
        </w:rPr>
        <w:t>批发交易用户偏差电量=用户实际网供电量-（各类交易合同购入电量-各类交易合同售出电量）</w:t>
      </w:r>
    </w:p>
    <w:p w:rsidR="00277BD8" w:rsidRPr="0078040E" w:rsidRDefault="002D68FD" w:rsidP="00277BD8">
      <w:pPr>
        <w:autoSpaceDE w:val="0"/>
        <w:autoSpaceDN w:val="0"/>
        <w:adjustRightInd w:val="0"/>
        <w:ind w:firstLineChars="200" w:firstLine="640"/>
        <w:rPr>
          <w:rFonts w:ascii="仿宋_GB2312" w:eastAsia="仿宋_GB2312" w:hAnsi="仿宋" w:cs="仿宋_GB2312"/>
          <w:color w:val="000000" w:themeColor="text1"/>
          <w:sz w:val="32"/>
          <w:szCs w:val="32"/>
        </w:rPr>
      </w:pPr>
      <w:r w:rsidRPr="002D68FD">
        <w:rPr>
          <w:rFonts w:ascii="仿宋_GB2312" w:eastAsia="仿宋_GB2312" w:hAnsi="仿宋" w:cs="仿宋_GB2312" w:hint="eastAsia"/>
          <w:color w:val="000000" w:themeColor="text1"/>
          <w:sz w:val="32"/>
          <w:szCs w:val="32"/>
        </w:rPr>
        <w:t>超用电量的结算价格=发电侧上调服务电量的加权平均价×U1。U1为用户侧超用电量惩罚系数，U1≥1。当月系统未调用上调服务时，以月度集中竞价交易最高成交价（或统一出清价）乘以惩罚系数结算超用电量。</w:t>
      </w:r>
    </w:p>
    <w:p w:rsidR="00277BD8" w:rsidRPr="0078040E" w:rsidRDefault="002D68FD" w:rsidP="00277BD8">
      <w:pPr>
        <w:autoSpaceDE w:val="0"/>
        <w:autoSpaceDN w:val="0"/>
        <w:adjustRightInd w:val="0"/>
        <w:ind w:firstLineChars="200" w:firstLine="640"/>
        <w:rPr>
          <w:rFonts w:ascii="仿宋_GB2312" w:eastAsia="仿宋_GB2312" w:hAnsi="仿宋" w:cs="仿宋_GB2312"/>
          <w:color w:val="000000" w:themeColor="text1"/>
          <w:sz w:val="32"/>
          <w:szCs w:val="32"/>
        </w:rPr>
      </w:pPr>
      <w:r w:rsidRPr="002D68FD">
        <w:rPr>
          <w:rFonts w:ascii="仿宋_GB2312" w:eastAsia="仿宋_GB2312" w:hAnsi="仿宋" w:cs="仿宋_GB2312" w:hint="eastAsia"/>
          <w:color w:val="000000" w:themeColor="text1"/>
          <w:sz w:val="32"/>
          <w:szCs w:val="32"/>
        </w:rPr>
        <w:t>少用电量的结算价格=发电侧下调服务电量的加权平均价×U2。U2为用户侧少用电量惩罚系数，U2≤1。当月系统</w:t>
      </w:r>
      <w:r w:rsidRPr="002D68FD">
        <w:rPr>
          <w:rFonts w:ascii="仿宋_GB2312" w:eastAsia="仿宋_GB2312" w:hAnsi="仿宋" w:cs="仿宋_GB2312" w:hint="eastAsia"/>
          <w:color w:val="000000" w:themeColor="text1"/>
          <w:sz w:val="32"/>
          <w:szCs w:val="32"/>
        </w:rPr>
        <w:lastRenderedPageBreak/>
        <w:t>未调用下调服务时，以月度集中竞价交易最低成交价（或统一出清价）乘以惩罚系数结算少用电量。</w:t>
      </w:r>
    </w:p>
    <w:p w:rsidR="00277BD8" w:rsidRPr="0078040E" w:rsidRDefault="002D68FD" w:rsidP="00277BD8">
      <w:pPr>
        <w:autoSpaceDE w:val="0"/>
        <w:autoSpaceDN w:val="0"/>
        <w:adjustRightInd w:val="0"/>
        <w:ind w:firstLineChars="200" w:firstLine="640"/>
        <w:rPr>
          <w:rFonts w:ascii="仿宋_GB2312" w:eastAsia="仿宋_GB2312" w:hAnsi="仿宋" w:cs="仿宋_GB2312"/>
          <w:color w:val="000000" w:themeColor="text1"/>
          <w:sz w:val="32"/>
          <w:szCs w:val="32"/>
        </w:rPr>
      </w:pPr>
      <w:r w:rsidRPr="002D68FD">
        <w:rPr>
          <w:rFonts w:ascii="仿宋_GB2312" w:eastAsia="仿宋_GB2312" w:hAnsi="仿宋" w:cs="仿宋_GB2312" w:hint="eastAsia"/>
          <w:color w:val="000000" w:themeColor="text1"/>
          <w:sz w:val="32"/>
          <w:szCs w:val="32"/>
        </w:rPr>
        <w:t>根据超用电量或少用电量的区间范围，可设置分段的惩罚系数。</w:t>
      </w:r>
    </w:p>
    <w:p w:rsidR="00277BD8" w:rsidRPr="0078040E" w:rsidRDefault="002D68FD" w:rsidP="00277BD8">
      <w:pPr>
        <w:autoSpaceDE w:val="0"/>
        <w:autoSpaceDN w:val="0"/>
        <w:adjustRightInd w:val="0"/>
        <w:ind w:firstLineChars="200" w:firstLine="640"/>
        <w:rPr>
          <w:rFonts w:ascii="仿宋_GB2312" w:eastAsia="仿宋_GB2312" w:hAnsi="仿宋" w:cs="仿宋_GB2312"/>
          <w:color w:val="000000" w:themeColor="text1"/>
          <w:sz w:val="32"/>
          <w:szCs w:val="32"/>
        </w:rPr>
      </w:pPr>
      <w:r w:rsidRPr="002D68FD">
        <w:rPr>
          <w:rFonts w:ascii="仿宋_GB2312" w:eastAsia="仿宋_GB2312" w:hAnsi="仿宋" w:cs="仿宋_GB2312" w:hint="eastAsia"/>
          <w:color w:val="000000" w:themeColor="text1"/>
          <w:sz w:val="32"/>
          <w:szCs w:val="32"/>
        </w:rPr>
        <w:t>当售电公司所有签约用户月度实际总用量偏离售电公司月度交易计划时，售电公司承担偏差电量电费。</w:t>
      </w:r>
    </w:p>
    <w:p w:rsidR="00277BD8" w:rsidRPr="0078040E" w:rsidRDefault="002D68FD" w:rsidP="00277BD8">
      <w:pPr>
        <w:autoSpaceDE w:val="0"/>
        <w:autoSpaceDN w:val="0"/>
        <w:adjustRightInd w:val="0"/>
        <w:ind w:firstLineChars="200" w:firstLine="640"/>
        <w:rPr>
          <w:rFonts w:ascii="仿宋_GB2312" w:eastAsia="仿宋_GB2312" w:hAnsi="仿宋" w:cs="仿宋_GB2312"/>
          <w:color w:val="000000" w:themeColor="text1"/>
          <w:sz w:val="32"/>
          <w:szCs w:val="32"/>
        </w:rPr>
      </w:pPr>
      <w:r w:rsidRPr="002D68FD">
        <w:rPr>
          <w:rFonts w:ascii="仿宋_GB2312" w:eastAsia="仿宋_GB2312" w:hAnsi="仿宋" w:cs="仿宋_GB2312" w:hint="eastAsia"/>
          <w:color w:val="000000" w:themeColor="text1"/>
          <w:sz w:val="32"/>
          <w:szCs w:val="32"/>
        </w:rPr>
        <w:t>（二）发电企业偏差电量指发电企业因自身原因（如设备故障、燃料不足等）引起的超发或少发电量。发电企业的偏差电量分为超发电量和少发电量，超发电量获得售电费用，少发电量支付购电费用。</w:t>
      </w:r>
    </w:p>
    <w:p w:rsidR="00277BD8" w:rsidRPr="0078040E" w:rsidRDefault="002D68FD" w:rsidP="00277BD8">
      <w:pPr>
        <w:autoSpaceDE w:val="0"/>
        <w:autoSpaceDN w:val="0"/>
        <w:adjustRightInd w:val="0"/>
        <w:ind w:firstLineChars="200" w:firstLine="640"/>
        <w:rPr>
          <w:rFonts w:ascii="仿宋_GB2312" w:eastAsia="仿宋_GB2312" w:hAnsi="仿宋" w:cs="仿宋_GB2312"/>
          <w:color w:val="000000" w:themeColor="text1"/>
          <w:sz w:val="32"/>
          <w:szCs w:val="32"/>
        </w:rPr>
      </w:pPr>
      <w:r w:rsidRPr="002D68FD">
        <w:rPr>
          <w:rFonts w:ascii="仿宋_GB2312" w:eastAsia="仿宋_GB2312" w:hAnsi="仿宋" w:cs="仿宋_GB2312" w:hint="eastAsia"/>
          <w:color w:val="000000" w:themeColor="text1"/>
          <w:sz w:val="32"/>
          <w:szCs w:val="32"/>
        </w:rPr>
        <w:t>超发电量结算价格=发电侧下调服务电量的加权平均价×K1。K1为发电侧超发电量惩罚系数，K1≤1。当月系统未调用下调服务时，以月度集中竞价交易最低成交价（或统一出清价）乘以惩罚系数结算超发电量。</w:t>
      </w:r>
    </w:p>
    <w:p w:rsidR="00277BD8" w:rsidRPr="0078040E" w:rsidRDefault="002D68FD" w:rsidP="00277BD8">
      <w:pPr>
        <w:autoSpaceDE w:val="0"/>
        <w:autoSpaceDN w:val="0"/>
        <w:adjustRightInd w:val="0"/>
        <w:ind w:left="85" w:firstLineChars="200" w:firstLine="640"/>
        <w:rPr>
          <w:rFonts w:ascii="仿宋_GB2312" w:eastAsia="仿宋_GB2312" w:hAnsi="仿宋" w:cs="仿宋_GB2312"/>
          <w:color w:val="000000" w:themeColor="text1"/>
          <w:sz w:val="32"/>
          <w:szCs w:val="32"/>
        </w:rPr>
      </w:pPr>
      <w:r w:rsidRPr="002D68FD">
        <w:rPr>
          <w:rFonts w:ascii="仿宋_GB2312" w:eastAsia="仿宋_GB2312" w:hAnsi="仿宋" w:cs="仿宋_GB2312" w:hint="eastAsia"/>
          <w:color w:val="000000" w:themeColor="text1"/>
          <w:sz w:val="32"/>
          <w:szCs w:val="32"/>
        </w:rPr>
        <w:t>少发电量结算价格=发电侧上调服务电量的加权平均价×K2。K2为发电侧少发电量惩罚系数，K2≥1。当月系统未调用上调服务时，以月度集中竞价交易最高成交价（或统一出清价）乘以惩罚系数结算少发电量。</w:t>
      </w:r>
    </w:p>
    <w:p w:rsidR="00277BD8" w:rsidRPr="0078040E" w:rsidRDefault="002D68FD" w:rsidP="00277BD8">
      <w:pPr>
        <w:autoSpaceDE w:val="0"/>
        <w:autoSpaceDN w:val="0"/>
        <w:adjustRightInd w:val="0"/>
        <w:ind w:left="85" w:firstLineChars="200" w:firstLine="640"/>
        <w:rPr>
          <w:rFonts w:ascii="仿宋_GB2312" w:eastAsia="仿宋_GB2312" w:hAnsi="仿宋" w:cs="仿宋_GB2312"/>
          <w:color w:val="000000" w:themeColor="text1"/>
          <w:sz w:val="32"/>
          <w:szCs w:val="32"/>
        </w:rPr>
      </w:pPr>
      <w:r w:rsidRPr="002D68FD">
        <w:rPr>
          <w:rFonts w:ascii="仿宋_GB2312" w:eastAsia="仿宋_GB2312" w:hAnsi="仿宋" w:cs="仿宋_GB2312" w:hint="eastAsia"/>
          <w:color w:val="000000" w:themeColor="text1"/>
          <w:sz w:val="32"/>
          <w:szCs w:val="32"/>
        </w:rPr>
        <w:t>根据超发电量或少发电量的区间范围，可设置分段的惩罚系数。</w:t>
      </w:r>
    </w:p>
    <w:p w:rsidR="00C60152" w:rsidRPr="0078040E" w:rsidRDefault="002D68FD" w:rsidP="00180CBF">
      <w:pPr>
        <w:pStyle w:val="af1"/>
        <w:numPr>
          <w:ilvl w:val="0"/>
          <w:numId w:val="1"/>
        </w:numPr>
        <w:spacing w:line="560" w:lineRule="exact"/>
        <w:jc w:val="both"/>
        <w:rPr>
          <w:rFonts w:ascii="仿宋_GB2312" w:eastAsia="仿宋_GB2312" w:hAnsi="仿宋" w:cs="仿宋_GB2312"/>
          <w:color w:val="000000" w:themeColor="text1"/>
          <w:sz w:val="32"/>
          <w:szCs w:val="32"/>
        </w:rPr>
      </w:pPr>
      <w:r w:rsidRPr="002D68FD">
        <w:rPr>
          <w:rFonts w:ascii="仿宋_GB2312" w:eastAsia="仿宋_GB2312" w:hAnsi="仿宋" w:cs="仿宋_GB2312"/>
          <w:color w:val="000000" w:themeColor="text1"/>
          <w:sz w:val="32"/>
          <w:szCs w:val="32"/>
        </w:rPr>
        <w:t xml:space="preserve"> </w:t>
      </w:r>
      <w:r w:rsidRPr="002D68FD">
        <w:rPr>
          <w:rFonts w:ascii="仿宋_GB2312" w:eastAsia="仿宋_GB2312" w:hAnsi="仿宋" w:cs="仿宋_GB2312" w:hint="eastAsia"/>
          <w:color w:val="000000" w:themeColor="text1"/>
          <w:sz w:val="32"/>
          <w:szCs w:val="32"/>
        </w:rPr>
        <w:t>电力用户拥有储能，或者电力用户参加特定时段的需求侧响应，由此产生的偏差电量，由电力用</w:t>
      </w:r>
      <w:r w:rsidRPr="002D68FD">
        <w:rPr>
          <w:rFonts w:ascii="仿宋_GB2312" w:eastAsia="仿宋_GB2312" w:hAnsi="仿宋" w:cs="仿宋_GB2312" w:hint="eastAsia"/>
          <w:color w:val="000000" w:themeColor="text1"/>
          <w:sz w:val="32"/>
          <w:szCs w:val="32"/>
        </w:rPr>
        <w:lastRenderedPageBreak/>
        <w:t>户自行承担。</w:t>
      </w:r>
    </w:p>
    <w:p w:rsidR="00C60152" w:rsidRPr="0078040E" w:rsidRDefault="002D68FD" w:rsidP="00DC05E3">
      <w:pPr>
        <w:pStyle w:val="af1"/>
        <w:numPr>
          <w:ilvl w:val="0"/>
          <w:numId w:val="1"/>
        </w:numPr>
        <w:spacing w:line="560" w:lineRule="exact"/>
        <w:jc w:val="both"/>
        <w:rPr>
          <w:rFonts w:ascii="仿宋_GB2312" w:eastAsia="仿宋_GB2312" w:hAnsi="仿宋" w:cs="仿宋_GB2312"/>
          <w:color w:val="000000" w:themeColor="text1"/>
          <w:sz w:val="32"/>
          <w:szCs w:val="32"/>
        </w:rPr>
      </w:pPr>
      <w:r w:rsidRPr="002D68FD">
        <w:rPr>
          <w:rFonts w:ascii="仿宋_GB2312" w:eastAsia="仿宋_GB2312" w:hAnsi="仿宋" w:cs="仿宋_GB2312"/>
          <w:color w:val="000000" w:themeColor="text1"/>
          <w:sz w:val="32"/>
          <w:szCs w:val="32"/>
        </w:rPr>
        <w:t xml:space="preserve"> </w:t>
      </w:r>
      <w:r w:rsidRPr="002D68FD">
        <w:rPr>
          <w:rFonts w:ascii="仿宋_GB2312" w:eastAsia="仿宋_GB2312" w:hAnsi="仿宋" w:cs="仿宋_GB2312" w:hint="eastAsia"/>
          <w:color w:val="000000" w:themeColor="text1"/>
          <w:sz w:val="32"/>
          <w:szCs w:val="32"/>
        </w:rPr>
        <w:t>经营配网业务的售电公司，与省级电网企业进行电费结算，并按照政府价格主管部门的相关规定，向省级电网企业支付输电费用。</w:t>
      </w:r>
    </w:p>
    <w:p w:rsidR="00C60152" w:rsidRPr="0078040E" w:rsidRDefault="002D68FD" w:rsidP="00180CBF">
      <w:pPr>
        <w:pStyle w:val="af1"/>
        <w:numPr>
          <w:ilvl w:val="0"/>
          <w:numId w:val="1"/>
        </w:numPr>
        <w:spacing w:line="560" w:lineRule="exact"/>
        <w:jc w:val="both"/>
        <w:rPr>
          <w:rFonts w:ascii="仿宋_GB2312" w:eastAsia="仿宋_GB2312" w:hAnsi="仿宋" w:cs="仿宋_GB2312"/>
          <w:color w:val="000000" w:themeColor="text1"/>
          <w:sz w:val="32"/>
          <w:szCs w:val="32"/>
        </w:rPr>
      </w:pPr>
      <w:r w:rsidRPr="002D68FD">
        <w:rPr>
          <w:rFonts w:ascii="仿宋_GB2312" w:eastAsia="仿宋_GB2312" w:hAnsi="仿宋" w:cs="仿宋_GB2312"/>
          <w:color w:val="000000" w:themeColor="text1"/>
          <w:sz w:val="32"/>
          <w:szCs w:val="32"/>
        </w:rPr>
        <w:t xml:space="preserve"> </w:t>
      </w:r>
      <w:r w:rsidRPr="002D68FD">
        <w:rPr>
          <w:rFonts w:ascii="仿宋_GB2312" w:eastAsia="仿宋_GB2312" w:hAnsi="仿宋" w:cs="仿宋_GB2312" w:hint="eastAsia"/>
          <w:color w:val="000000" w:themeColor="text1"/>
          <w:sz w:val="32"/>
          <w:szCs w:val="32"/>
        </w:rPr>
        <w:t>电力调度机构应当对结算周期内发电企业的偏差电量进行记录，包括偏差原因、起止时间、偏差电量等。在发电企业实际上网电量基础上，扣除各类合同电量、偏差电量后，视为发电企业的上下调电量。</w:t>
      </w:r>
    </w:p>
    <w:p w:rsidR="00C60152" w:rsidRPr="0078040E" w:rsidRDefault="002D68FD">
      <w:pPr>
        <w:pStyle w:val="af1"/>
        <w:spacing w:line="560" w:lineRule="exact"/>
        <w:ind w:left="85" w:firstLineChars="200" w:firstLine="640"/>
        <w:jc w:val="both"/>
        <w:rPr>
          <w:rFonts w:ascii="仿宋_GB2312" w:eastAsia="仿宋_GB2312" w:hAnsi="仿宋" w:cs="仿宋_GB2312"/>
          <w:color w:val="000000" w:themeColor="text1"/>
          <w:sz w:val="32"/>
          <w:szCs w:val="32"/>
        </w:rPr>
      </w:pPr>
      <w:r w:rsidRPr="002D68FD">
        <w:rPr>
          <w:rFonts w:ascii="仿宋_GB2312" w:eastAsia="仿宋_GB2312" w:hAnsi="仿宋" w:cs="仿宋_GB2312" w:hint="eastAsia"/>
          <w:color w:val="000000" w:themeColor="text1"/>
          <w:sz w:val="32"/>
          <w:szCs w:val="32"/>
        </w:rPr>
        <w:t>发电企业的上下调电量，按其申报价格结算。</w:t>
      </w:r>
    </w:p>
    <w:p w:rsidR="00984BB5" w:rsidRPr="0078040E" w:rsidRDefault="002D68FD" w:rsidP="00180CBF">
      <w:pPr>
        <w:pStyle w:val="af1"/>
        <w:numPr>
          <w:ilvl w:val="0"/>
          <w:numId w:val="1"/>
        </w:numPr>
        <w:spacing w:line="560" w:lineRule="exact"/>
        <w:jc w:val="both"/>
        <w:rPr>
          <w:rFonts w:ascii="仿宋_GB2312" w:eastAsia="仿宋_GB2312" w:hAnsi="仿宋" w:cs="仿宋_GB2312"/>
          <w:color w:val="000000" w:themeColor="text1"/>
          <w:sz w:val="32"/>
          <w:szCs w:val="32"/>
        </w:rPr>
      </w:pPr>
      <w:r w:rsidRPr="002D68FD">
        <w:rPr>
          <w:rFonts w:ascii="仿宋_GB2312" w:eastAsia="仿宋_GB2312" w:hAnsi="仿宋" w:cs="仿宋_GB2312"/>
          <w:color w:val="000000" w:themeColor="text1"/>
          <w:sz w:val="32"/>
          <w:szCs w:val="32"/>
        </w:rPr>
        <w:t xml:space="preserve"> </w:t>
      </w:r>
      <w:r w:rsidRPr="002D68FD">
        <w:rPr>
          <w:rFonts w:ascii="仿宋_GB2312" w:eastAsia="仿宋_GB2312" w:hAnsi="仿宋" w:cs="仿宋_GB2312" w:hint="eastAsia"/>
          <w:color w:val="000000" w:themeColor="text1"/>
          <w:sz w:val="32"/>
          <w:szCs w:val="32"/>
        </w:rPr>
        <w:t>风电、光伏发电企业的电费结算：</w:t>
      </w:r>
    </w:p>
    <w:p w:rsidR="00984BB5" w:rsidRPr="0078040E" w:rsidRDefault="002D68FD" w:rsidP="00984BB5">
      <w:pPr>
        <w:pStyle w:val="af1"/>
        <w:spacing w:line="560" w:lineRule="exact"/>
        <w:ind w:left="85" w:firstLineChars="100" w:firstLine="320"/>
        <w:jc w:val="both"/>
        <w:rPr>
          <w:rFonts w:ascii="仿宋_GB2312" w:eastAsia="仿宋_GB2312" w:hAnsi="仿宋" w:cs="仿宋_GB2312"/>
          <w:color w:val="000000" w:themeColor="text1"/>
          <w:sz w:val="32"/>
          <w:szCs w:val="32"/>
        </w:rPr>
      </w:pPr>
      <w:r w:rsidRPr="002D68FD">
        <w:rPr>
          <w:rFonts w:ascii="仿宋_GB2312" w:eastAsia="仿宋_GB2312" w:hAnsi="仿宋" w:cs="仿宋_GB2312" w:hint="eastAsia"/>
          <w:color w:val="000000" w:themeColor="text1"/>
          <w:sz w:val="32"/>
          <w:szCs w:val="32"/>
        </w:rPr>
        <w:t xml:space="preserve">  （一）未核定最低保障收购年利用小时数的地区，按当月实际上网电量及政府批复的价格水平或价格机制进行结算。</w:t>
      </w:r>
    </w:p>
    <w:p w:rsidR="00984BB5" w:rsidRPr="0078040E" w:rsidRDefault="002D68FD" w:rsidP="00984BB5">
      <w:pPr>
        <w:pStyle w:val="af1"/>
        <w:spacing w:line="560" w:lineRule="exact"/>
        <w:ind w:left="85" w:firstLineChars="200" w:firstLine="640"/>
        <w:jc w:val="both"/>
        <w:rPr>
          <w:rFonts w:ascii="仿宋_GB2312" w:eastAsia="仿宋_GB2312" w:hAnsi="仿宋" w:cs="仿宋_GB2312"/>
          <w:color w:val="000000" w:themeColor="text1"/>
          <w:sz w:val="32"/>
          <w:szCs w:val="32"/>
        </w:rPr>
      </w:pPr>
      <w:r w:rsidRPr="002D68FD">
        <w:rPr>
          <w:rFonts w:ascii="仿宋_GB2312" w:eastAsia="仿宋_GB2312" w:hAnsi="仿宋" w:cs="仿宋_GB2312" w:hint="eastAsia"/>
          <w:color w:val="000000" w:themeColor="text1"/>
          <w:sz w:val="32"/>
          <w:szCs w:val="32"/>
        </w:rPr>
        <w:t>（二）核定最低保障收购年利用小时数的地区，最低保障收购年利用小时数内的电量按政府批复的价格水平或价格机制进行结算。超出最低保障收购年利用小时数的部分应当通过市场交易方式消纳和结算。</w:t>
      </w:r>
    </w:p>
    <w:p w:rsidR="00C60152" w:rsidRPr="0078040E" w:rsidRDefault="002D68FD" w:rsidP="00180CBF">
      <w:pPr>
        <w:pStyle w:val="af1"/>
        <w:numPr>
          <w:ilvl w:val="0"/>
          <w:numId w:val="1"/>
        </w:numPr>
        <w:spacing w:line="560" w:lineRule="exact"/>
        <w:jc w:val="both"/>
        <w:rPr>
          <w:rFonts w:ascii="仿宋_GB2312" w:eastAsia="仿宋_GB2312" w:hAnsi="仿宋" w:cs="仿宋_GB2312"/>
          <w:color w:val="000000" w:themeColor="text1"/>
          <w:sz w:val="32"/>
          <w:szCs w:val="32"/>
        </w:rPr>
      </w:pPr>
      <w:r w:rsidRPr="002D68FD">
        <w:rPr>
          <w:rFonts w:ascii="仿宋_GB2312" w:eastAsia="仿宋_GB2312" w:hAnsi="仿宋" w:cs="仿宋_GB2312" w:hint="eastAsia"/>
          <w:color w:val="000000" w:themeColor="text1"/>
          <w:sz w:val="32"/>
          <w:szCs w:val="32"/>
        </w:rPr>
        <w:t>非市场用户月度实际用电量与电网企业月度购电量（含年分月电量，扣除系统网损电量）存在偏差时，由为非市场用户供电的电网企业代为结算偏差电量费用，由此造成的电网企业购电成本损益单独记账，按当月上网电量占比分摊或返还给所有机组，月结月清。</w:t>
      </w:r>
    </w:p>
    <w:p w:rsidR="00C60152" w:rsidRPr="0078040E" w:rsidRDefault="002D68FD" w:rsidP="00180CBF">
      <w:pPr>
        <w:pStyle w:val="af1"/>
        <w:numPr>
          <w:ilvl w:val="0"/>
          <w:numId w:val="1"/>
        </w:numPr>
        <w:spacing w:line="560" w:lineRule="exact"/>
        <w:jc w:val="both"/>
        <w:rPr>
          <w:rFonts w:ascii="仿宋_GB2312" w:eastAsia="仿宋_GB2312" w:hAnsi="仿宋" w:cs="仿宋_GB2312"/>
          <w:color w:val="000000" w:themeColor="text1"/>
          <w:sz w:val="32"/>
          <w:szCs w:val="32"/>
        </w:rPr>
      </w:pPr>
      <w:r w:rsidRPr="002D68FD">
        <w:rPr>
          <w:rFonts w:ascii="仿宋_GB2312" w:eastAsia="仿宋_GB2312" w:hAnsi="仿宋" w:cs="仿宋_GB2312" w:hint="eastAsia"/>
          <w:color w:val="000000" w:themeColor="text1"/>
          <w:sz w:val="32"/>
          <w:szCs w:val="32"/>
        </w:rPr>
        <w:t>电力用户侧（包括批发交易电力用户、售电公司、非市场用户）的偏差电量费用与发电侧的上下调</w:t>
      </w:r>
      <w:r w:rsidRPr="002D68FD">
        <w:rPr>
          <w:rFonts w:ascii="仿宋_GB2312" w:eastAsia="仿宋_GB2312" w:hAnsi="仿宋" w:cs="仿宋_GB2312" w:hint="eastAsia"/>
          <w:color w:val="000000" w:themeColor="text1"/>
          <w:sz w:val="32"/>
          <w:szCs w:val="32"/>
        </w:rPr>
        <w:lastRenderedPageBreak/>
        <w:t>费用、偏差电量费用等之间的差额，按当月上网电量或用网电量占比分摊或返还给所有市场主体，月结月清。</w:t>
      </w:r>
    </w:p>
    <w:p w:rsidR="00984BB5" w:rsidRPr="0078040E" w:rsidRDefault="002D68FD" w:rsidP="00984BB5">
      <w:pPr>
        <w:pStyle w:val="1"/>
        <w:spacing w:before="120" w:after="120" w:line="240" w:lineRule="auto"/>
        <w:jc w:val="center"/>
        <w:rPr>
          <w:rFonts w:ascii="仿宋_GB2312" w:eastAsia="仿宋_GB2312" w:hAnsi="仿宋"/>
          <w:color w:val="000000" w:themeColor="text1"/>
          <w:sz w:val="32"/>
          <w:szCs w:val="32"/>
        </w:rPr>
      </w:pPr>
      <w:r w:rsidRPr="002D68FD">
        <w:rPr>
          <w:rFonts w:ascii="仿宋_GB2312" w:eastAsia="仿宋_GB2312" w:hAnsi="仿宋"/>
          <w:color w:val="000000" w:themeColor="text1"/>
          <w:sz w:val="32"/>
          <w:szCs w:val="32"/>
        </w:rPr>
        <w:t>第十章 信息批露</w:t>
      </w:r>
    </w:p>
    <w:p w:rsidR="00C60152" w:rsidRPr="0078040E" w:rsidRDefault="002D68FD" w:rsidP="00180CBF">
      <w:pPr>
        <w:pStyle w:val="af1"/>
        <w:numPr>
          <w:ilvl w:val="0"/>
          <w:numId w:val="1"/>
        </w:numPr>
        <w:tabs>
          <w:tab w:val="left" w:pos="720"/>
        </w:tabs>
        <w:ind w:firstLine="640"/>
        <w:jc w:val="both"/>
        <w:rPr>
          <w:rFonts w:ascii="仿宋_GB2312" w:eastAsia="仿宋_GB2312" w:hAnsi="仿宋"/>
          <w:color w:val="000000" w:themeColor="text1"/>
          <w:sz w:val="32"/>
        </w:rPr>
      </w:pPr>
      <w:bookmarkStart w:id="33" w:name="#go41"/>
      <w:bookmarkStart w:id="34" w:name="#go40"/>
      <w:bookmarkEnd w:id="29"/>
      <w:bookmarkEnd w:id="30"/>
      <w:bookmarkEnd w:id="31"/>
      <w:r w:rsidRPr="002D68FD">
        <w:rPr>
          <w:rFonts w:ascii="仿宋_GB2312" w:eastAsia="仿宋_GB2312" w:hAnsi="仿宋" w:hint="eastAsia"/>
          <w:color w:val="000000" w:themeColor="text1"/>
          <w:sz w:val="32"/>
        </w:rPr>
        <w:t>市场信息分为社会公众信息、市场公开信息和私有信息。社会公众信息是指向社会公众披露的信息；市场公开信息是指向所有市场主体披露的信息；私有信息是指向特定的市场主体披露的信息。</w:t>
      </w:r>
    </w:p>
    <w:p w:rsidR="00C60152" w:rsidRPr="0078040E" w:rsidRDefault="002D68FD" w:rsidP="00180CBF">
      <w:pPr>
        <w:pStyle w:val="af1"/>
        <w:numPr>
          <w:ilvl w:val="0"/>
          <w:numId w:val="1"/>
        </w:numPr>
        <w:tabs>
          <w:tab w:val="left" w:pos="720"/>
        </w:tabs>
        <w:jc w:val="both"/>
        <w:rPr>
          <w:rFonts w:ascii="仿宋_GB2312" w:eastAsia="仿宋_GB2312" w:hAnsi="仿宋"/>
          <w:color w:val="000000" w:themeColor="text1"/>
          <w:sz w:val="32"/>
        </w:rPr>
      </w:pPr>
      <w:r w:rsidRPr="002D68FD">
        <w:rPr>
          <w:rFonts w:ascii="仿宋_GB2312" w:eastAsia="仿宋_GB2312" w:hAnsi="仿宋" w:hint="eastAsia"/>
          <w:color w:val="000000" w:themeColor="text1"/>
          <w:sz w:val="32"/>
        </w:rPr>
        <w:t>社会公众信息包括但不限于：</w:t>
      </w:r>
    </w:p>
    <w:p w:rsidR="0061307C" w:rsidRPr="0078040E" w:rsidRDefault="002D68FD" w:rsidP="0061307C">
      <w:pPr>
        <w:pStyle w:val="af1"/>
        <w:numPr>
          <w:ilvl w:val="0"/>
          <w:numId w:val="12"/>
        </w:numPr>
        <w:tabs>
          <w:tab w:val="left" w:pos="1429"/>
        </w:tabs>
        <w:spacing w:line="560" w:lineRule="exact"/>
        <w:ind w:firstLine="640"/>
        <w:jc w:val="both"/>
        <w:rPr>
          <w:rFonts w:ascii="仿宋_GB2312" w:eastAsia="仿宋_GB2312" w:hAnsi="仿宋"/>
          <w:color w:val="000000" w:themeColor="text1"/>
          <w:sz w:val="32"/>
        </w:rPr>
      </w:pPr>
      <w:r w:rsidRPr="002D68FD">
        <w:rPr>
          <w:rFonts w:ascii="仿宋_GB2312" w:eastAsia="仿宋_GB2312" w:hAnsi="仿宋" w:hint="eastAsia"/>
          <w:color w:val="000000" w:themeColor="text1"/>
          <w:sz w:val="32"/>
        </w:rPr>
        <w:t>电力交易适用的法律、法规，电力交易业务流程、管理办法及相关政策文件等；</w:t>
      </w:r>
    </w:p>
    <w:p w:rsidR="0061307C" w:rsidRPr="0078040E" w:rsidRDefault="002D68FD" w:rsidP="0061307C">
      <w:pPr>
        <w:pStyle w:val="af1"/>
        <w:numPr>
          <w:ilvl w:val="0"/>
          <w:numId w:val="12"/>
        </w:numPr>
        <w:tabs>
          <w:tab w:val="left" w:pos="1429"/>
        </w:tabs>
        <w:spacing w:line="560" w:lineRule="exact"/>
        <w:ind w:firstLine="640"/>
        <w:jc w:val="both"/>
        <w:rPr>
          <w:rFonts w:ascii="仿宋_GB2312" w:eastAsia="仿宋_GB2312" w:hAnsi="仿宋"/>
          <w:color w:val="000000" w:themeColor="text1"/>
          <w:sz w:val="32"/>
        </w:rPr>
      </w:pPr>
      <w:r w:rsidRPr="002D68FD">
        <w:rPr>
          <w:rFonts w:ascii="仿宋_GB2312" w:eastAsia="仿宋_GB2312" w:hAnsi="仿宋" w:hint="eastAsia"/>
          <w:color w:val="000000" w:themeColor="text1"/>
          <w:sz w:val="32"/>
        </w:rPr>
        <w:t>国家批准的发电侧上网电价、销售目录电价、输配电价、各类政府性基金及附加、系统备用费及其他电力交易相关收费标准等；</w:t>
      </w:r>
    </w:p>
    <w:p w:rsidR="0061307C" w:rsidRPr="0078040E" w:rsidRDefault="002D68FD" w:rsidP="0061307C">
      <w:pPr>
        <w:pStyle w:val="af1"/>
        <w:numPr>
          <w:ilvl w:val="0"/>
          <w:numId w:val="12"/>
        </w:numPr>
        <w:tabs>
          <w:tab w:val="left" w:pos="1429"/>
        </w:tabs>
        <w:spacing w:line="560" w:lineRule="exact"/>
        <w:ind w:firstLine="640"/>
        <w:jc w:val="both"/>
        <w:rPr>
          <w:rFonts w:ascii="仿宋_GB2312" w:eastAsia="仿宋_GB2312" w:hAnsi="仿宋"/>
          <w:color w:val="000000" w:themeColor="text1"/>
          <w:sz w:val="32"/>
        </w:rPr>
      </w:pPr>
      <w:r w:rsidRPr="002D68FD">
        <w:rPr>
          <w:rFonts w:ascii="仿宋_GB2312" w:eastAsia="仿宋_GB2312" w:hAnsi="仿宋" w:hint="eastAsia"/>
          <w:color w:val="000000" w:themeColor="text1"/>
          <w:sz w:val="32"/>
        </w:rPr>
        <w:t>电力市场运行基本情况，包括各类市场主体注册情况，电力交易总体成交电量、价格情况等；</w:t>
      </w:r>
    </w:p>
    <w:p w:rsidR="0061307C" w:rsidRPr="0078040E" w:rsidRDefault="002D68FD" w:rsidP="0061307C">
      <w:pPr>
        <w:pStyle w:val="af1"/>
        <w:numPr>
          <w:ilvl w:val="0"/>
          <w:numId w:val="12"/>
        </w:numPr>
        <w:tabs>
          <w:tab w:val="left" w:pos="1429"/>
        </w:tabs>
        <w:spacing w:line="560" w:lineRule="exact"/>
        <w:ind w:firstLine="640"/>
        <w:jc w:val="both"/>
        <w:rPr>
          <w:rFonts w:ascii="仿宋_GB2312" w:eastAsia="仿宋_GB2312" w:hAnsi="仿宋"/>
          <w:color w:val="000000" w:themeColor="text1"/>
          <w:sz w:val="32"/>
        </w:rPr>
      </w:pPr>
      <w:r w:rsidRPr="002D68FD">
        <w:rPr>
          <w:rFonts w:ascii="仿宋_GB2312" w:eastAsia="仿宋_GB2312" w:hAnsi="仿宋" w:hint="eastAsia"/>
          <w:color w:val="000000" w:themeColor="text1"/>
          <w:sz w:val="32"/>
        </w:rPr>
        <w:t>电网运行基本情况，包括电网主要网络通道的示意图、各类型发电机组装机总体情况，发用电负荷总体情况等；</w:t>
      </w:r>
    </w:p>
    <w:p w:rsidR="0061307C" w:rsidRPr="0078040E" w:rsidRDefault="002D68FD" w:rsidP="0061307C">
      <w:pPr>
        <w:pStyle w:val="af1"/>
        <w:numPr>
          <w:ilvl w:val="0"/>
          <w:numId w:val="12"/>
        </w:numPr>
        <w:tabs>
          <w:tab w:val="left" w:pos="1429"/>
        </w:tabs>
        <w:spacing w:line="560" w:lineRule="exact"/>
        <w:ind w:firstLine="640"/>
        <w:jc w:val="both"/>
        <w:rPr>
          <w:rFonts w:ascii="仿宋_GB2312" w:eastAsia="仿宋_GB2312" w:hAnsi="仿宋"/>
          <w:color w:val="000000" w:themeColor="text1"/>
          <w:sz w:val="32"/>
        </w:rPr>
      </w:pPr>
      <w:r w:rsidRPr="002D68FD">
        <w:rPr>
          <w:rFonts w:ascii="仿宋_GB2312" w:eastAsia="仿宋_GB2312" w:hAnsi="仿宋" w:hint="eastAsia"/>
          <w:color w:val="000000" w:themeColor="text1"/>
          <w:sz w:val="32"/>
        </w:rPr>
        <w:t>其他政策法规要求向社会公众公开的信息。</w:t>
      </w:r>
    </w:p>
    <w:p w:rsidR="00C60152" w:rsidRPr="0078040E" w:rsidRDefault="002D68FD" w:rsidP="00180CBF">
      <w:pPr>
        <w:pStyle w:val="af1"/>
        <w:numPr>
          <w:ilvl w:val="0"/>
          <w:numId w:val="1"/>
        </w:numPr>
        <w:tabs>
          <w:tab w:val="left" w:pos="720"/>
        </w:tabs>
        <w:jc w:val="both"/>
        <w:rPr>
          <w:rFonts w:ascii="仿宋_GB2312" w:eastAsia="仿宋_GB2312" w:hAnsi="仿宋"/>
          <w:color w:val="000000" w:themeColor="text1"/>
          <w:sz w:val="32"/>
        </w:rPr>
      </w:pPr>
      <w:r w:rsidRPr="002D68FD">
        <w:rPr>
          <w:rFonts w:ascii="仿宋_GB2312" w:eastAsia="仿宋_GB2312" w:hAnsi="仿宋" w:hint="eastAsia"/>
          <w:color w:val="000000" w:themeColor="text1"/>
          <w:sz w:val="32"/>
        </w:rPr>
        <w:t>市场公开信息包括但不限于：</w:t>
      </w:r>
    </w:p>
    <w:p w:rsidR="0068292B" w:rsidRPr="0078040E" w:rsidRDefault="002D68FD" w:rsidP="0068292B">
      <w:pPr>
        <w:spacing w:line="560" w:lineRule="exact"/>
        <w:ind w:firstLineChars="200" w:firstLine="640"/>
        <w:rPr>
          <w:rFonts w:ascii="仿宋_GB2312" w:eastAsia="仿宋_GB2312" w:hAnsi="仿宋"/>
          <w:color w:val="000000" w:themeColor="text1"/>
          <w:sz w:val="32"/>
        </w:rPr>
      </w:pPr>
      <w:r w:rsidRPr="002D68FD">
        <w:rPr>
          <w:rFonts w:ascii="仿宋_GB2312" w:eastAsia="仿宋_GB2312" w:hAnsi="仿宋" w:hint="eastAsia"/>
          <w:color w:val="000000" w:themeColor="text1"/>
          <w:sz w:val="32"/>
        </w:rPr>
        <w:t>（一）市场主体基本信息，市场主体注册准入以及退出情况，包括企业名称、统一社会信用代码、联系方式、信用评价信息等；</w:t>
      </w:r>
    </w:p>
    <w:p w:rsidR="0068292B" w:rsidRPr="0078040E" w:rsidRDefault="002D68FD" w:rsidP="0068292B">
      <w:pPr>
        <w:spacing w:line="560" w:lineRule="exact"/>
        <w:ind w:firstLineChars="200" w:firstLine="640"/>
        <w:rPr>
          <w:rFonts w:ascii="仿宋_GB2312" w:eastAsia="仿宋_GB2312" w:hAnsi="仿宋"/>
          <w:color w:val="000000" w:themeColor="text1"/>
          <w:sz w:val="32"/>
        </w:rPr>
      </w:pPr>
      <w:r w:rsidRPr="002D68FD">
        <w:rPr>
          <w:rFonts w:ascii="仿宋_GB2312" w:eastAsia="仿宋_GB2312" w:hAnsi="仿宋" w:hint="eastAsia"/>
          <w:color w:val="000000" w:themeColor="text1"/>
          <w:sz w:val="32"/>
        </w:rPr>
        <w:lastRenderedPageBreak/>
        <w:t>（二）发电设备信息，包括发电企业的类型、所属集团、装机容量、检修停运情况，项目投产（退役）计划、投产（退役）情况等；</w:t>
      </w:r>
    </w:p>
    <w:p w:rsidR="0068292B" w:rsidRPr="0078040E" w:rsidRDefault="002D68FD" w:rsidP="0068292B">
      <w:pPr>
        <w:spacing w:line="560" w:lineRule="exact"/>
        <w:ind w:firstLineChars="200" w:firstLine="640"/>
        <w:rPr>
          <w:rFonts w:ascii="仿宋_GB2312" w:eastAsia="仿宋_GB2312" w:hAnsi="仿宋"/>
          <w:color w:val="000000" w:themeColor="text1"/>
          <w:sz w:val="32"/>
        </w:rPr>
      </w:pPr>
      <w:r w:rsidRPr="002D68FD">
        <w:rPr>
          <w:rFonts w:ascii="仿宋_GB2312" w:eastAsia="仿宋_GB2312" w:hAnsi="仿宋" w:hint="eastAsia"/>
          <w:color w:val="000000" w:themeColor="text1"/>
          <w:sz w:val="32"/>
        </w:rPr>
        <w:t>（三）电网运行信息，电网安全运行的主要约束条件、电网重要运行方式的变化情况，电网各断面（设备）、各路径可用输电容量，必开必停机组组合和发电量需求，以及导致断面（设备）限额变化的停电检修等；</w:t>
      </w:r>
    </w:p>
    <w:p w:rsidR="0068292B" w:rsidRPr="0078040E" w:rsidRDefault="002D68FD" w:rsidP="0068292B">
      <w:pPr>
        <w:spacing w:line="560" w:lineRule="exact"/>
        <w:ind w:firstLineChars="200" w:firstLine="640"/>
        <w:rPr>
          <w:rFonts w:ascii="仿宋_GB2312" w:eastAsia="仿宋_GB2312" w:hAnsi="仿宋"/>
          <w:color w:val="000000" w:themeColor="text1"/>
          <w:sz w:val="32"/>
        </w:rPr>
      </w:pPr>
      <w:r w:rsidRPr="002D68FD">
        <w:rPr>
          <w:rFonts w:ascii="仿宋_GB2312" w:eastAsia="仿宋_GB2312" w:hAnsi="仿宋" w:hint="eastAsia"/>
          <w:color w:val="000000" w:themeColor="text1"/>
          <w:sz w:val="32"/>
        </w:rPr>
        <w:t>（四）市场交易类信息，包括年、季、月电力电量平衡预测分析情况，非市场化电量规模及交易总电量安排、计划分解，各种交易的总成交电量和成交均价，安全校核结果及原因等；</w:t>
      </w:r>
    </w:p>
    <w:p w:rsidR="00962D3E" w:rsidRPr="0078040E" w:rsidRDefault="002D68FD" w:rsidP="00962D3E">
      <w:pPr>
        <w:spacing w:line="560" w:lineRule="exact"/>
        <w:ind w:firstLineChars="200" w:firstLine="640"/>
        <w:rPr>
          <w:rFonts w:ascii="仿宋_GB2312" w:eastAsia="仿宋_GB2312" w:hAnsi="仿宋"/>
          <w:color w:val="000000" w:themeColor="text1"/>
          <w:sz w:val="32"/>
        </w:rPr>
      </w:pPr>
      <w:r w:rsidRPr="002D68FD">
        <w:rPr>
          <w:rFonts w:ascii="仿宋_GB2312" w:eastAsia="仿宋_GB2312" w:hAnsi="仿宋" w:hint="eastAsia"/>
          <w:color w:val="000000" w:themeColor="text1"/>
          <w:sz w:val="32"/>
        </w:rPr>
        <w:t>（五）交易执行信息，包括交易计划执行总体情况，计划执行调整及原因，市场干预情况等；</w:t>
      </w:r>
    </w:p>
    <w:p w:rsidR="00C60152" w:rsidRPr="0078040E" w:rsidRDefault="002D68FD" w:rsidP="0068292B">
      <w:pPr>
        <w:spacing w:line="560" w:lineRule="exact"/>
        <w:ind w:firstLineChars="200" w:firstLine="640"/>
        <w:rPr>
          <w:rFonts w:ascii="仿宋_GB2312" w:eastAsia="仿宋_GB2312" w:hAnsi="仿宋"/>
          <w:color w:val="000000" w:themeColor="text1"/>
          <w:sz w:val="32"/>
        </w:rPr>
      </w:pPr>
      <w:r w:rsidRPr="002D68FD">
        <w:rPr>
          <w:rFonts w:ascii="仿宋_GB2312" w:eastAsia="仿宋_GB2312" w:hAnsi="仿宋" w:hint="eastAsia"/>
          <w:color w:val="000000" w:themeColor="text1"/>
          <w:sz w:val="32"/>
        </w:rPr>
        <w:t>（六）结算类信息，包括合同结算总体完成情况，差额资金每月的盈亏和分摊情况；</w:t>
      </w:r>
    </w:p>
    <w:p w:rsidR="00EF0BE7" w:rsidRPr="0078040E" w:rsidRDefault="002D68FD" w:rsidP="00EF0BE7">
      <w:pPr>
        <w:ind w:firstLineChars="200" w:firstLine="640"/>
        <w:rPr>
          <w:rFonts w:ascii="仿宋_GB2312" w:eastAsia="仿宋_GB2312" w:hAnsi="仿宋"/>
          <w:color w:val="000000" w:themeColor="text1"/>
          <w:sz w:val="32"/>
          <w:szCs w:val="32"/>
        </w:rPr>
      </w:pPr>
      <w:r w:rsidRPr="002D68FD">
        <w:rPr>
          <w:rFonts w:ascii="仿宋_GB2312" w:eastAsia="仿宋_GB2312" w:hAnsi="仿宋" w:hint="eastAsia"/>
          <w:color w:val="000000" w:themeColor="text1"/>
          <w:sz w:val="32"/>
          <w:szCs w:val="32"/>
        </w:rPr>
        <w:t>（七）其他政策法规要求对市场主体公开的信息。</w:t>
      </w:r>
    </w:p>
    <w:p w:rsidR="00C60152" w:rsidRPr="0078040E" w:rsidRDefault="002D68FD" w:rsidP="00180CBF">
      <w:pPr>
        <w:pStyle w:val="af1"/>
        <w:numPr>
          <w:ilvl w:val="0"/>
          <w:numId w:val="1"/>
        </w:numPr>
        <w:tabs>
          <w:tab w:val="left" w:pos="720"/>
        </w:tabs>
        <w:jc w:val="both"/>
        <w:rPr>
          <w:rFonts w:ascii="仿宋_GB2312" w:eastAsia="仿宋_GB2312" w:hAnsi="仿宋"/>
          <w:color w:val="000000" w:themeColor="text1"/>
          <w:sz w:val="32"/>
        </w:rPr>
      </w:pPr>
      <w:r w:rsidRPr="002D68FD">
        <w:rPr>
          <w:rFonts w:ascii="仿宋_GB2312" w:eastAsia="仿宋_GB2312" w:hAnsi="仿宋" w:hint="eastAsia"/>
          <w:color w:val="000000" w:themeColor="text1"/>
          <w:sz w:val="32"/>
        </w:rPr>
        <w:t>市场私有信息主要包括：</w:t>
      </w:r>
    </w:p>
    <w:p w:rsidR="0061307C" w:rsidRPr="0078040E" w:rsidRDefault="002D68FD" w:rsidP="0061307C">
      <w:pPr>
        <w:spacing w:line="560" w:lineRule="exact"/>
        <w:ind w:firstLineChars="200" w:firstLine="640"/>
        <w:rPr>
          <w:rFonts w:ascii="仿宋_GB2312" w:eastAsia="仿宋_GB2312" w:hAnsi="仿宋"/>
          <w:color w:val="000000" w:themeColor="text1"/>
          <w:sz w:val="32"/>
        </w:rPr>
      </w:pPr>
      <w:r w:rsidRPr="002D68FD">
        <w:rPr>
          <w:rFonts w:ascii="仿宋_GB2312" w:eastAsia="仿宋_GB2312" w:hAnsi="仿宋" w:hint="eastAsia"/>
          <w:color w:val="000000" w:themeColor="text1"/>
          <w:sz w:val="32"/>
        </w:rPr>
        <w:t>（一）发电机组的机组特性参数、性能指标，电力用户用电特性参数和指标；</w:t>
      </w:r>
    </w:p>
    <w:p w:rsidR="0061307C" w:rsidRPr="0078040E" w:rsidRDefault="002D68FD" w:rsidP="0061307C">
      <w:pPr>
        <w:spacing w:line="560" w:lineRule="exact"/>
        <w:ind w:firstLineChars="200" w:firstLine="640"/>
        <w:rPr>
          <w:rFonts w:ascii="仿宋_GB2312" w:eastAsia="仿宋_GB2312" w:hAnsi="仿宋"/>
          <w:color w:val="000000" w:themeColor="text1"/>
          <w:sz w:val="32"/>
        </w:rPr>
      </w:pPr>
      <w:r w:rsidRPr="002D68FD">
        <w:rPr>
          <w:rFonts w:ascii="仿宋_GB2312" w:eastAsia="仿宋_GB2312" w:hAnsi="仿宋" w:hint="eastAsia"/>
          <w:color w:val="000000" w:themeColor="text1"/>
          <w:sz w:val="32"/>
        </w:rPr>
        <w:t>（二）各市场主体的市场化交易申报电量、申报电价等交易申报信息；</w:t>
      </w:r>
    </w:p>
    <w:p w:rsidR="0061307C" w:rsidRPr="0078040E" w:rsidRDefault="002D68FD" w:rsidP="0061307C">
      <w:pPr>
        <w:spacing w:line="560" w:lineRule="exact"/>
        <w:ind w:firstLineChars="200" w:firstLine="640"/>
        <w:rPr>
          <w:rFonts w:ascii="仿宋_GB2312" w:eastAsia="仿宋_GB2312" w:hAnsi="仿宋"/>
          <w:color w:val="000000" w:themeColor="text1"/>
          <w:sz w:val="32"/>
        </w:rPr>
      </w:pPr>
      <w:r w:rsidRPr="002D68FD">
        <w:rPr>
          <w:rFonts w:ascii="仿宋_GB2312" w:eastAsia="仿宋_GB2312" w:hAnsi="仿宋" w:hint="eastAsia"/>
          <w:color w:val="000000" w:themeColor="text1"/>
          <w:sz w:val="32"/>
        </w:rPr>
        <w:t>（三）各市场主体的各类市场化交易的成交电量及成交价格等信息；</w:t>
      </w:r>
    </w:p>
    <w:p w:rsidR="00C60152" w:rsidRPr="0078040E" w:rsidRDefault="002D68FD" w:rsidP="00A6594C">
      <w:pPr>
        <w:spacing w:line="560" w:lineRule="exact"/>
        <w:ind w:firstLineChars="200" w:firstLine="640"/>
        <w:rPr>
          <w:rFonts w:ascii="仿宋_GB2312" w:eastAsia="仿宋_GB2312" w:hAnsi="仿宋"/>
          <w:color w:val="000000" w:themeColor="text1"/>
          <w:sz w:val="32"/>
        </w:rPr>
      </w:pPr>
      <w:r w:rsidRPr="002D68FD">
        <w:rPr>
          <w:rFonts w:ascii="仿宋_GB2312" w:eastAsia="仿宋_GB2312" w:hAnsi="仿宋" w:hint="eastAsia"/>
          <w:color w:val="000000" w:themeColor="text1"/>
          <w:sz w:val="32"/>
        </w:rPr>
        <w:t>（四）各市场主体的市场化交易合同以及结算明细信息。</w:t>
      </w:r>
    </w:p>
    <w:p w:rsidR="00C60152" w:rsidRPr="0078040E" w:rsidRDefault="002D68FD" w:rsidP="00180CBF">
      <w:pPr>
        <w:pStyle w:val="af1"/>
        <w:numPr>
          <w:ilvl w:val="0"/>
          <w:numId w:val="1"/>
        </w:numPr>
        <w:tabs>
          <w:tab w:val="left" w:pos="720"/>
        </w:tabs>
        <w:jc w:val="both"/>
        <w:rPr>
          <w:rFonts w:ascii="仿宋_GB2312" w:eastAsia="仿宋_GB2312" w:hAnsi="仿宋"/>
          <w:color w:val="000000" w:themeColor="text1"/>
          <w:sz w:val="32"/>
        </w:rPr>
      </w:pPr>
      <w:r w:rsidRPr="002D68FD">
        <w:rPr>
          <w:rFonts w:ascii="仿宋_GB2312" w:eastAsia="仿宋_GB2312" w:hAnsi="仿宋" w:hint="eastAsia"/>
          <w:color w:val="000000" w:themeColor="text1"/>
          <w:sz w:val="32"/>
        </w:rPr>
        <w:lastRenderedPageBreak/>
        <w:t>市场成员应当遵循及时、准确、完整的原则披露电力市场信息，对其披露信息的真实性负责。违者可依法依规纳入失信管理，严重者可按照规定取消市场准入资格。</w:t>
      </w:r>
    </w:p>
    <w:p w:rsidR="00000000" w:rsidRDefault="002D68FD">
      <w:pPr>
        <w:pStyle w:val="af1"/>
        <w:numPr>
          <w:ilvl w:val="0"/>
          <w:numId w:val="1"/>
        </w:numPr>
        <w:tabs>
          <w:tab w:val="left" w:pos="720"/>
        </w:tabs>
        <w:jc w:val="both"/>
        <w:rPr>
          <w:rFonts w:ascii="仿宋_GB2312" w:eastAsia="仿宋_GB2312" w:hAnsi="仿宋"/>
          <w:color w:val="000000" w:themeColor="text1"/>
          <w:sz w:val="32"/>
        </w:rPr>
      </w:pPr>
      <w:r w:rsidRPr="002D68FD">
        <w:rPr>
          <w:rFonts w:ascii="仿宋_GB2312" w:eastAsia="仿宋_GB2312" w:hAnsi="仿宋" w:hint="eastAsia"/>
          <w:color w:val="000000" w:themeColor="text1"/>
          <w:sz w:val="32"/>
        </w:rPr>
        <w:t>电力交易机构、电力调度机构应当公平对待市场主体，无歧视披露社会公众信息和市场公开信息。市场成员严禁超职责范围获取私有信息，不得泄露影响公平竞争和涉及用户隐私的相关信息。</w:t>
      </w:r>
    </w:p>
    <w:p w:rsidR="00962D3E" w:rsidRPr="0078040E" w:rsidRDefault="002D68FD" w:rsidP="00962D3E">
      <w:pPr>
        <w:pStyle w:val="af1"/>
        <w:numPr>
          <w:ilvl w:val="0"/>
          <w:numId w:val="1"/>
        </w:numPr>
        <w:tabs>
          <w:tab w:val="left" w:pos="720"/>
        </w:tabs>
        <w:jc w:val="both"/>
        <w:rPr>
          <w:rFonts w:ascii="仿宋_GB2312" w:eastAsia="仿宋_GB2312" w:hAnsi="仿宋"/>
          <w:color w:val="000000" w:themeColor="text1"/>
          <w:sz w:val="32"/>
        </w:rPr>
      </w:pPr>
      <w:r w:rsidRPr="002D68FD">
        <w:rPr>
          <w:rFonts w:ascii="仿宋_GB2312" w:eastAsia="仿宋_GB2312" w:hAnsi="仿宋" w:hint="eastAsia"/>
          <w:color w:val="000000" w:themeColor="text1"/>
          <w:sz w:val="32"/>
        </w:rPr>
        <w:t>电力交易机构负责市场信息的管理和发布，会同电力调度机构按照市场信息分类及时向社会及市场主体、政府有关部门发布相关信息。市场主体、电力调度机构应当及时向电力交易机构提供支撑市场化交易开展所需的数据和信息。</w:t>
      </w:r>
    </w:p>
    <w:p w:rsidR="00000000" w:rsidRDefault="002D68FD">
      <w:pPr>
        <w:pStyle w:val="af1"/>
        <w:numPr>
          <w:ilvl w:val="0"/>
          <w:numId w:val="1"/>
        </w:numPr>
        <w:tabs>
          <w:tab w:val="left" w:pos="720"/>
        </w:tabs>
        <w:jc w:val="both"/>
        <w:rPr>
          <w:rFonts w:ascii="仿宋_GB2312" w:eastAsia="仿宋_GB2312" w:hAnsi="仿宋"/>
          <w:color w:val="000000" w:themeColor="text1"/>
          <w:sz w:val="32"/>
        </w:rPr>
      </w:pPr>
      <w:r w:rsidRPr="002D68FD">
        <w:rPr>
          <w:rFonts w:ascii="仿宋_GB2312" w:eastAsia="仿宋_GB2312" w:hAnsi="仿宋" w:hint="eastAsia"/>
          <w:color w:val="000000" w:themeColor="text1"/>
          <w:sz w:val="32"/>
        </w:rPr>
        <w:t>在确保安全的基础上，市场信息主要通过电力市场技术支持系统、电力交易机构网站进行披露。电力交易机构负责电力市场技术支持系统、电力交易机构网站的建设、管理和维护，并为其他市场主体通过技术支持系统、电力交易机构网站披露信息提供便利。电力市场技术支持系统、电力交易机构网站安全等级应当满足国家信息安全三级等级防护要求。</w:t>
      </w:r>
    </w:p>
    <w:p w:rsidR="00000000" w:rsidRDefault="002D68FD">
      <w:pPr>
        <w:pStyle w:val="af1"/>
        <w:numPr>
          <w:ilvl w:val="0"/>
          <w:numId w:val="1"/>
        </w:numPr>
        <w:tabs>
          <w:tab w:val="left" w:pos="720"/>
        </w:tabs>
        <w:jc w:val="both"/>
        <w:rPr>
          <w:rFonts w:ascii="仿宋_GB2312" w:eastAsia="仿宋_GB2312" w:hAnsi="仿宋"/>
          <w:color w:val="000000" w:themeColor="text1"/>
          <w:sz w:val="32"/>
        </w:rPr>
      </w:pPr>
      <w:r w:rsidRPr="002D68FD">
        <w:rPr>
          <w:rFonts w:ascii="仿宋_GB2312" w:eastAsia="仿宋_GB2312" w:hAnsi="仿宋" w:hint="eastAsia"/>
          <w:color w:val="000000" w:themeColor="text1"/>
          <w:sz w:val="32"/>
        </w:rPr>
        <w:t>市场主体如对披露的相关信息有异议或疑问，可向电力交易机构、电力调度机构提出，由电力</w:t>
      </w:r>
      <w:r w:rsidRPr="002D68FD">
        <w:rPr>
          <w:rFonts w:ascii="仿宋_GB2312" w:eastAsia="仿宋_GB2312" w:hAnsi="仿宋" w:hint="eastAsia"/>
          <w:color w:val="000000" w:themeColor="text1"/>
          <w:sz w:val="32"/>
        </w:rPr>
        <w:lastRenderedPageBreak/>
        <w:t>交易机构、电力调度机构负责解释。</w:t>
      </w:r>
    </w:p>
    <w:p w:rsidR="00000000" w:rsidRDefault="002D68FD">
      <w:pPr>
        <w:pStyle w:val="af1"/>
        <w:numPr>
          <w:ilvl w:val="0"/>
          <w:numId w:val="1"/>
        </w:numPr>
        <w:tabs>
          <w:tab w:val="left" w:pos="720"/>
        </w:tabs>
        <w:jc w:val="both"/>
        <w:rPr>
          <w:rFonts w:ascii="仿宋_GB2312" w:eastAsia="仿宋_GB2312" w:hAnsi="仿宋"/>
          <w:color w:val="000000" w:themeColor="text1"/>
          <w:sz w:val="32"/>
        </w:rPr>
      </w:pPr>
      <w:r w:rsidRPr="002D68FD">
        <w:rPr>
          <w:rFonts w:ascii="仿宋_GB2312" w:eastAsia="仿宋_GB2312" w:hAnsi="仿宋" w:hint="eastAsia"/>
          <w:color w:val="000000" w:themeColor="text1"/>
          <w:sz w:val="32"/>
        </w:rPr>
        <w:t>国家能源局派出监管机构、地方政府电力管理部门根据各地实际制定电力市场信息披露管理办法并监督实施。</w:t>
      </w:r>
    </w:p>
    <w:p w:rsidR="00C60152" w:rsidRPr="0078040E" w:rsidRDefault="002D68FD">
      <w:pPr>
        <w:pStyle w:val="1"/>
        <w:spacing w:before="120" w:after="120" w:line="240" w:lineRule="auto"/>
        <w:jc w:val="center"/>
        <w:rPr>
          <w:rFonts w:ascii="仿宋_GB2312" w:eastAsia="仿宋_GB2312" w:hAnsi="仿宋"/>
          <w:color w:val="000000" w:themeColor="text1"/>
          <w:sz w:val="32"/>
          <w:szCs w:val="32"/>
        </w:rPr>
      </w:pPr>
      <w:r w:rsidRPr="002D68FD">
        <w:rPr>
          <w:rFonts w:ascii="仿宋_GB2312" w:eastAsia="仿宋_GB2312" w:hAnsi="仿宋" w:hint="eastAsia"/>
          <w:color w:val="000000" w:themeColor="text1"/>
          <w:sz w:val="32"/>
          <w:szCs w:val="32"/>
        </w:rPr>
        <w:t>第十一章</w:t>
      </w:r>
      <w:r w:rsidRPr="002D68FD">
        <w:rPr>
          <w:rFonts w:ascii="仿宋_GB2312" w:eastAsia="仿宋_GB2312" w:hAnsi="仿宋"/>
          <w:color w:val="000000" w:themeColor="text1"/>
          <w:sz w:val="32"/>
          <w:szCs w:val="32"/>
        </w:rPr>
        <w:t xml:space="preserve"> </w:t>
      </w:r>
      <w:r w:rsidRPr="002D68FD">
        <w:rPr>
          <w:rFonts w:ascii="仿宋_GB2312" w:eastAsia="仿宋_GB2312" w:hAnsi="仿宋" w:hint="eastAsia"/>
          <w:color w:val="000000" w:themeColor="text1"/>
          <w:sz w:val="32"/>
          <w:szCs w:val="32"/>
        </w:rPr>
        <w:t>市场监测和风险防控</w:t>
      </w:r>
    </w:p>
    <w:p w:rsidR="00D87A3E" w:rsidRPr="0078040E" w:rsidRDefault="002D68FD" w:rsidP="00180CBF">
      <w:pPr>
        <w:pStyle w:val="af1"/>
        <w:numPr>
          <w:ilvl w:val="0"/>
          <w:numId w:val="1"/>
        </w:numPr>
        <w:tabs>
          <w:tab w:val="left" w:pos="720"/>
        </w:tabs>
        <w:jc w:val="both"/>
        <w:rPr>
          <w:rFonts w:ascii="仿宋_GB2312" w:eastAsia="仿宋_GB2312" w:hAnsi="仿宋"/>
          <w:color w:val="000000" w:themeColor="text1"/>
          <w:sz w:val="32"/>
        </w:rPr>
      </w:pPr>
      <w:r w:rsidRPr="002D68FD">
        <w:rPr>
          <w:rFonts w:ascii="仿宋_GB2312" w:eastAsia="仿宋_GB2312" w:hAnsi="仿宋" w:hint="eastAsia"/>
          <w:color w:val="000000" w:themeColor="text1"/>
          <w:sz w:val="32"/>
        </w:rPr>
        <w:t>国家能源局及其派出监管机构应当建立健全交易机构专业化监管制度，推动成立独立的电力交易机构专家委员会，积极发展第三方专业机构，形成政府监管与外部专业化监督密切配合的有效监管体系。</w:t>
      </w:r>
    </w:p>
    <w:p w:rsidR="00D87A3E" w:rsidRPr="0078040E" w:rsidRDefault="002D68FD" w:rsidP="00D87A3E">
      <w:pPr>
        <w:pStyle w:val="af1"/>
        <w:numPr>
          <w:ilvl w:val="0"/>
          <w:numId w:val="1"/>
        </w:numPr>
        <w:tabs>
          <w:tab w:val="left" w:pos="720"/>
        </w:tabs>
        <w:jc w:val="both"/>
        <w:rPr>
          <w:rFonts w:ascii="仿宋_GB2312" w:eastAsia="仿宋_GB2312" w:hAnsi="仿宋" w:cs="仿宋_GB2312"/>
          <w:color w:val="000000" w:themeColor="text1"/>
          <w:sz w:val="32"/>
          <w:szCs w:val="32"/>
        </w:rPr>
      </w:pPr>
      <w:r w:rsidRPr="002D68FD">
        <w:rPr>
          <w:rFonts w:ascii="仿宋_GB2312" w:eastAsia="仿宋_GB2312" w:hAnsi="仿宋" w:cs="仿宋_GB2312" w:hint="eastAsia"/>
          <w:color w:val="000000" w:themeColor="text1"/>
          <w:sz w:val="32"/>
          <w:szCs w:val="32"/>
        </w:rPr>
        <w:t>电力交易机构、电力调度机构根据有关规定，履行市场运营、市场监控和风险防控等职责。根据国家能源局及其派出监管机构的监管要求，将相关信息系统接入电力监管信息系统，按照“谁运营、谁防范，谁运营、谁监控”的原则，采取有效风险防控措施，加强对市场运营情况的监控分析，按照有关规定定期向国家能源局及其派出监管机构、地方政府电力管理部门提交市场监控分析报告。</w:t>
      </w:r>
    </w:p>
    <w:p w:rsidR="00C60152" w:rsidRPr="0078040E" w:rsidRDefault="002D68FD" w:rsidP="00180CBF">
      <w:pPr>
        <w:pStyle w:val="af1"/>
        <w:numPr>
          <w:ilvl w:val="0"/>
          <w:numId w:val="1"/>
        </w:numPr>
        <w:tabs>
          <w:tab w:val="left" w:pos="720"/>
        </w:tabs>
        <w:jc w:val="both"/>
        <w:rPr>
          <w:rFonts w:ascii="仿宋_GB2312" w:eastAsia="仿宋_GB2312" w:hAnsi="仿宋" w:cs="仿宋_GB2312"/>
          <w:color w:val="000000" w:themeColor="text1"/>
          <w:sz w:val="32"/>
          <w:szCs w:val="32"/>
        </w:rPr>
      </w:pPr>
      <w:r w:rsidRPr="002D68FD">
        <w:rPr>
          <w:rFonts w:ascii="仿宋_GB2312" w:eastAsia="仿宋_GB2312" w:hAnsi="仿宋" w:cs="仿宋_GB2312" w:hint="eastAsia"/>
          <w:color w:val="000000" w:themeColor="text1"/>
          <w:sz w:val="32"/>
          <w:szCs w:val="32"/>
        </w:rPr>
        <w:t>当出现以下情况时，电力交易机构、电力调度机构可依法依规采取市场干预措施：</w:t>
      </w:r>
    </w:p>
    <w:p w:rsidR="00C60152" w:rsidRPr="0078040E" w:rsidRDefault="002D68FD">
      <w:pPr>
        <w:pStyle w:val="af1"/>
        <w:numPr>
          <w:ilvl w:val="0"/>
          <w:numId w:val="5"/>
        </w:numPr>
        <w:spacing w:line="560" w:lineRule="exact"/>
        <w:ind w:firstLineChars="200" w:firstLine="640"/>
        <w:jc w:val="both"/>
        <w:textAlignment w:val="baseline"/>
        <w:rPr>
          <w:rFonts w:ascii="仿宋_GB2312" w:eastAsia="仿宋_GB2312" w:hAnsi="仿宋" w:cs="仿宋_GB2312"/>
          <w:color w:val="000000" w:themeColor="text1"/>
          <w:sz w:val="32"/>
          <w:szCs w:val="32"/>
        </w:rPr>
      </w:pPr>
      <w:r w:rsidRPr="002D68FD">
        <w:rPr>
          <w:rFonts w:ascii="仿宋_GB2312" w:eastAsia="仿宋_GB2312" w:hAnsi="仿宋" w:cs="仿宋_GB2312" w:hint="eastAsia"/>
          <w:color w:val="000000" w:themeColor="text1"/>
          <w:sz w:val="32"/>
          <w:szCs w:val="32"/>
        </w:rPr>
        <w:t>电力系统内发生重大事故危及电网安全；</w:t>
      </w:r>
    </w:p>
    <w:p w:rsidR="00C60152" w:rsidRPr="0078040E" w:rsidRDefault="002D68FD">
      <w:pPr>
        <w:pStyle w:val="af1"/>
        <w:spacing w:line="560" w:lineRule="exact"/>
        <w:ind w:firstLineChars="200" w:firstLine="640"/>
        <w:jc w:val="both"/>
        <w:textAlignment w:val="baseline"/>
        <w:rPr>
          <w:rFonts w:ascii="仿宋_GB2312" w:eastAsia="仿宋_GB2312" w:hAnsi="仿宋" w:cs="仿宋_GB2312"/>
          <w:color w:val="000000" w:themeColor="text1"/>
          <w:sz w:val="32"/>
          <w:szCs w:val="32"/>
        </w:rPr>
      </w:pPr>
      <w:r w:rsidRPr="002D68FD">
        <w:rPr>
          <w:rFonts w:ascii="仿宋_GB2312" w:eastAsia="仿宋_GB2312" w:hAnsi="仿宋" w:cs="仿宋_GB2312" w:hint="eastAsia"/>
          <w:color w:val="000000" w:themeColor="text1"/>
          <w:sz w:val="32"/>
          <w:szCs w:val="32"/>
        </w:rPr>
        <w:t>（二）发生恶意串通操纵市场的行为，并严重影响交易结果的；</w:t>
      </w:r>
    </w:p>
    <w:p w:rsidR="00C60152" w:rsidRPr="0078040E" w:rsidRDefault="002D68FD">
      <w:pPr>
        <w:ind w:firstLineChars="200" w:firstLine="640"/>
        <w:textAlignment w:val="baseline"/>
        <w:rPr>
          <w:rFonts w:ascii="仿宋_GB2312" w:eastAsia="仿宋_GB2312" w:hAnsi="仿宋" w:cs="仿宋_GB2312"/>
          <w:color w:val="000000" w:themeColor="text1"/>
          <w:sz w:val="32"/>
          <w:szCs w:val="32"/>
        </w:rPr>
      </w:pPr>
      <w:r w:rsidRPr="002D68FD">
        <w:rPr>
          <w:rFonts w:ascii="仿宋_GB2312" w:eastAsia="仿宋_GB2312" w:hAnsi="仿宋" w:cs="仿宋_GB2312" w:hint="eastAsia"/>
          <w:color w:val="000000" w:themeColor="text1"/>
          <w:sz w:val="32"/>
          <w:szCs w:val="32"/>
        </w:rPr>
        <w:t>（三）市场技术支持系统发生重大故障，导致交易无法</w:t>
      </w:r>
      <w:r w:rsidRPr="002D68FD">
        <w:rPr>
          <w:rFonts w:ascii="仿宋_GB2312" w:eastAsia="仿宋_GB2312" w:hAnsi="仿宋" w:cs="仿宋_GB2312" w:hint="eastAsia"/>
          <w:color w:val="000000" w:themeColor="text1"/>
          <w:sz w:val="32"/>
          <w:szCs w:val="32"/>
        </w:rPr>
        <w:lastRenderedPageBreak/>
        <w:t>正常进行的；</w:t>
      </w:r>
    </w:p>
    <w:p w:rsidR="00C60152" w:rsidRPr="0078040E" w:rsidRDefault="002D68FD">
      <w:pPr>
        <w:pStyle w:val="af1"/>
        <w:spacing w:line="560" w:lineRule="exact"/>
        <w:ind w:left="640"/>
        <w:jc w:val="both"/>
        <w:textAlignment w:val="baseline"/>
        <w:rPr>
          <w:rFonts w:ascii="仿宋_GB2312" w:eastAsia="仿宋_GB2312" w:hAnsi="仿宋" w:cs="仿宋_GB2312"/>
          <w:color w:val="000000" w:themeColor="text1"/>
          <w:sz w:val="32"/>
          <w:szCs w:val="32"/>
        </w:rPr>
      </w:pPr>
      <w:r w:rsidRPr="002D68FD">
        <w:rPr>
          <w:rFonts w:ascii="仿宋_GB2312" w:eastAsia="仿宋_GB2312" w:hAnsi="仿宋" w:cs="仿宋_GB2312" w:hint="eastAsia"/>
          <w:color w:val="000000" w:themeColor="text1"/>
          <w:sz w:val="32"/>
          <w:szCs w:val="32"/>
        </w:rPr>
        <w:t>（四）因不可抗力市场化交易不能正常开展的；</w:t>
      </w:r>
    </w:p>
    <w:p w:rsidR="00000000" w:rsidRDefault="002D68FD">
      <w:pPr>
        <w:ind w:firstLineChars="200" w:firstLine="640"/>
        <w:textAlignment w:val="baseline"/>
        <w:rPr>
          <w:rFonts w:ascii="仿宋_GB2312" w:eastAsia="仿宋_GB2312" w:hAnsi="仿宋" w:cs="仿宋_GB2312"/>
          <w:color w:val="000000" w:themeColor="text1"/>
          <w:sz w:val="32"/>
          <w:szCs w:val="32"/>
        </w:rPr>
      </w:pPr>
      <w:r w:rsidRPr="002D68FD">
        <w:rPr>
          <w:rFonts w:ascii="仿宋_GB2312" w:eastAsia="仿宋_GB2312" w:hAnsi="仿宋" w:cs="仿宋_GB2312" w:hint="eastAsia"/>
          <w:color w:val="000000" w:themeColor="text1"/>
          <w:sz w:val="32"/>
          <w:szCs w:val="32"/>
        </w:rPr>
        <w:t>（五）国家能源局及其派出监管机构作出暂停市场交易决定的；</w:t>
      </w:r>
    </w:p>
    <w:p w:rsidR="00C60152" w:rsidRPr="0078040E" w:rsidRDefault="002D68FD">
      <w:pPr>
        <w:pStyle w:val="af1"/>
        <w:spacing w:line="560" w:lineRule="exact"/>
        <w:ind w:firstLineChars="200" w:firstLine="640"/>
        <w:jc w:val="both"/>
        <w:textAlignment w:val="baseline"/>
        <w:rPr>
          <w:rFonts w:ascii="仿宋_GB2312" w:eastAsia="仿宋_GB2312" w:hAnsi="仿宋" w:cs="仿宋_GB2312"/>
          <w:color w:val="000000" w:themeColor="text1"/>
          <w:sz w:val="32"/>
          <w:szCs w:val="32"/>
        </w:rPr>
      </w:pPr>
      <w:r w:rsidRPr="002D68FD">
        <w:rPr>
          <w:rFonts w:ascii="仿宋_GB2312" w:eastAsia="仿宋_GB2312" w:hAnsi="仿宋" w:cs="仿宋_GB2312" w:hint="eastAsia"/>
          <w:color w:val="000000" w:themeColor="text1"/>
          <w:sz w:val="32"/>
          <w:szCs w:val="32"/>
        </w:rPr>
        <w:t>（六）市场发生其他严重异常情况的。</w:t>
      </w:r>
    </w:p>
    <w:p w:rsidR="00D87A3E" w:rsidRPr="0078040E" w:rsidRDefault="002D68FD" w:rsidP="00180CBF">
      <w:pPr>
        <w:pStyle w:val="af1"/>
        <w:numPr>
          <w:ilvl w:val="0"/>
          <w:numId w:val="1"/>
        </w:numPr>
        <w:tabs>
          <w:tab w:val="left" w:pos="720"/>
        </w:tabs>
        <w:jc w:val="both"/>
        <w:rPr>
          <w:rFonts w:ascii="仿宋_GB2312" w:eastAsia="仿宋_GB2312" w:hAnsi="仿宋" w:cs="仿宋_GB2312"/>
          <w:color w:val="000000" w:themeColor="text1"/>
          <w:sz w:val="32"/>
          <w:szCs w:val="32"/>
        </w:rPr>
      </w:pPr>
      <w:r w:rsidRPr="002D68FD">
        <w:rPr>
          <w:rFonts w:ascii="仿宋_GB2312" w:eastAsia="仿宋_GB2312" w:hAnsi="仿宋" w:cs="仿宋_GB2312" w:hint="eastAsia"/>
          <w:color w:val="000000" w:themeColor="text1"/>
          <w:sz w:val="32"/>
          <w:szCs w:val="32"/>
        </w:rPr>
        <w:t>电力交易机构、电力调度机构应当详细记录市场干预期间的有关情况，并向国家能源局派出监管机构、地方政府电力管理部门提交报告。</w:t>
      </w:r>
    </w:p>
    <w:p w:rsidR="00C60152" w:rsidRPr="0078040E" w:rsidRDefault="002D68FD" w:rsidP="00180CBF">
      <w:pPr>
        <w:pStyle w:val="af1"/>
        <w:numPr>
          <w:ilvl w:val="0"/>
          <w:numId w:val="1"/>
        </w:numPr>
        <w:tabs>
          <w:tab w:val="left" w:pos="720"/>
        </w:tabs>
        <w:jc w:val="both"/>
        <w:rPr>
          <w:rFonts w:ascii="仿宋_GB2312" w:eastAsia="仿宋_GB2312" w:hAnsi="仿宋" w:cs="仿宋_GB2312"/>
          <w:color w:val="000000" w:themeColor="text1"/>
          <w:sz w:val="32"/>
          <w:szCs w:val="32"/>
        </w:rPr>
      </w:pPr>
      <w:r w:rsidRPr="002D68FD">
        <w:rPr>
          <w:rFonts w:ascii="仿宋_GB2312" w:eastAsia="仿宋_GB2312" w:hAnsi="仿宋" w:cs="仿宋_GB2312" w:hint="eastAsia"/>
          <w:color w:val="000000" w:themeColor="text1"/>
          <w:sz w:val="32"/>
          <w:szCs w:val="32"/>
        </w:rPr>
        <w:t>电力批发交易发生争议时，市场成员可自行协商解决，协商无法达成一致时也可提交国家能源局派出监管机构、地方政府电力管理部门调解处理，必要时可提交仲裁委员会仲裁或者向人民法院提起诉讼。</w:t>
      </w:r>
    </w:p>
    <w:p w:rsidR="00C60152" w:rsidRPr="0078040E" w:rsidRDefault="002D68FD">
      <w:pPr>
        <w:pStyle w:val="1"/>
        <w:spacing w:before="120" w:after="120" w:line="240" w:lineRule="auto"/>
        <w:jc w:val="center"/>
        <w:rPr>
          <w:rFonts w:ascii="仿宋_GB2312" w:eastAsia="仿宋_GB2312" w:hAnsi="仿宋"/>
          <w:color w:val="000000" w:themeColor="text1"/>
          <w:sz w:val="32"/>
          <w:szCs w:val="32"/>
        </w:rPr>
      </w:pPr>
      <w:bookmarkStart w:id="35" w:name="_Toc429855143"/>
      <w:bookmarkStart w:id="36" w:name="_Toc430176630"/>
      <w:bookmarkStart w:id="37" w:name="_Toc430684141"/>
      <w:bookmarkEnd w:id="33"/>
      <w:bookmarkEnd w:id="34"/>
      <w:r w:rsidRPr="002D68FD">
        <w:rPr>
          <w:rFonts w:ascii="仿宋_GB2312" w:eastAsia="仿宋_GB2312" w:hAnsi="仿宋"/>
          <w:color w:val="000000" w:themeColor="text1"/>
          <w:sz w:val="32"/>
          <w:szCs w:val="32"/>
        </w:rPr>
        <w:t>第十二章 附 则</w:t>
      </w:r>
      <w:bookmarkEnd w:id="35"/>
      <w:bookmarkEnd w:id="36"/>
      <w:bookmarkEnd w:id="37"/>
    </w:p>
    <w:p w:rsidR="00C60152" w:rsidRPr="0078040E" w:rsidRDefault="002D68FD" w:rsidP="00180CBF">
      <w:pPr>
        <w:pStyle w:val="af1"/>
        <w:numPr>
          <w:ilvl w:val="0"/>
          <w:numId w:val="1"/>
        </w:numPr>
        <w:tabs>
          <w:tab w:val="left" w:pos="720"/>
        </w:tabs>
        <w:ind w:firstLine="640"/>
        <w:jc w:val="both"/>
        <w:rPr>
          <w:rFonts w:ascii="仿宋_GB2312" w:eastAsia="仿宋_GB2312" w:hAnsi="仿宋"/>
          <w:color w:val="000000" w:themeColor="text1"/>
          <w:sz w:val="32"/>
          <w:szCs w:val="32"/>
        </w:rPr>
      </w:pPr>
      <w:r w:rsidRPr="002D68FD">
        <w:rPr>
          <w:rFonts w:ascii="仿宋_GB2312" w:eastAsia="仿宋_GB2312" w:hAnsi="仿宋" w:hint="eastAsia"/>
          <w:color w:val="000000" w:themeColor="text1"/>
          <w:sz w:val="32"/>
          <w:szCs w:val="32"/>
        </w:rPr>
        <w:t>国家能源局及其派出监管机构会同地方政府电力管理等部门组织区域电力交易机构根据本规则拟定区域电力交易实施细则。</w:t>
      </w:r>
      <w:bookmarkStart w:id="38" w:name="OLE_LINK34"/>
      <w:r w:rsidRPr="002D68FD">
        <w:rPr>
          <w:rFonts w:ascii="仿宋_GB2312" w:eastAsia="仿宋_GB2312" w:hAnsi="仿宋" w:hint="eastAsia"/>
          <w:color w:val="000000" w:themeColor="text1"/>
          <w:sz w:val="32"/>
          <w:szCs w:val="32"/>
        </w:rPr>
        <w:t>国家能源局派出监管机构会同地方政府电力管理等部门</w:t>
      </w:r>
      <w:bookmarkEnd w:id="38"/>
      <w:r w:rsidRPr="002D68FD">
        <w:rPr>
          <w:rFonts w:ascii="仿宋_GB2312" w:eastAsia="仿宋_GB2312" w:hAnsi="仿宋" w:hint="eastAsia"/>
          <w:color w:val="000000" w:themeColor="text1"/>
          <w:sz w:val="32"/>
          <w:szCs w:val="32"/>
        </w:rPr>
        <w:t>根据本规则拟定或修订各省（市、区）电力交易实施细则。</w:t>
      </w:r>
    </w:p>
    <w:p w:rsidR="00C60152" w:rsidRPr="0078040E" w:rsidRDefault="002D68FD" w:rsidP="00180CBF">
      <w:pPr>
        <w:pStyle w:val="af1"/>
        <w:numPr>
          <w:ilvl w:val="0"/>
          <w:numId w:val="1"/>
        </w:numPr>
        <w:tabs>
          <w:tab w:val="left" w:pos="720"/>
        </w:tabs>
        <w:ind w:firstLine="640"/>
        <w:jc w:val="both"/>
        <w:rPr>
          <w:rFonts w:ascii="仿宋_GB2312" w:eastAsia="仿宋_GB2312" w:hAnsi="仿宋"/>
          <w:color w:val="000000" w:themeColor="text1"/>
          <w:sz w:val="32"/>
          <w:szCs w:val="32"/>
        </w:rPr>
      </w:pPr>
      <w:r w:rsidRPr="002D68FD">
        <w:rPr>
          <w:rFonts w:ascii="仿宋_GB2312" w:eastAsia="仿宋_GB2312" w:hAnsi="仿宋" w:hint="eastAsia"/>
          <w:color w:val="000000" w:themeColor="text1"/>
          <w:sz w:val="32"/>
          <w:szCs w:val="32"/>
        </w:rPr>
        <w:t>本规则由国家发展改革委、国家能源局负责解释。</w:t>
      </w:r>
    </w:p>
    <w:p w:rsidR="00C60152" w:rsidRPr="0078040E" w:rsidRDefault="002D68FD" w:rsidP="00180CBF">
      <w:pPr>
        <w:pStyle w:val="af1"/>
        <w:numPr>
          <w:ilvl w:val="0"/>
          <w:numId w:val="1"/>
        </w:numPr>
        <w:tabs>
          <w:tab w:val="left" w:pos="720"/>
        </w:tabs>
        <w:ind w:firstLine="640"/>
        <w:jc w:val="both"/>
        <w:rPr>
          <w:rFonts w:ascii="仿宋_GB2312" w:eastAsia="仿宋_GB2312" w:hAnsi="仿宋"/>
          <w:color w:val="000000" w:themeColor="text1"/>
          <w:sz w:val="32"/>
          <w:szCs w:val="32"/>
        </w:rPr>
      </w:pPr>
      <w:r w:rsidRPr="002D68FD">
        <w:rPr>
          <w:rFonts w:ascii="仿宋_GB2312" w:eastAsia="仿宋_GB2312" w:hAnsi="仿宋" w:hint="eastAsia"/>
          <w:color w:val="000000" w:themeColor="text1"/>
          <w:sz w:val="32"/>
          <w:szCs w:val="32"/>
        </w:rPr>
        <w:t>本规则自发布之日起施行，有效期三年。</w:t>
      </w:r>
    </w:p>
    <w:sectPr w:rsidR="00C60152" w:rsidRPr="0078040E" w:rsidSect="00D072E2">
      <w:footerReference w:type="default" r:id="rId8"/>
      <w:pgSz w:w="11906" w:h="16838"/>
      <w:pgMar w:top="1440" w:right="1800" w:bottom="1440" w:left="1800" w:header="851" w:footer="992"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27DC" w:rsidRDefault="00FC27DC">
      <w:r>
        <w:separator/>
      </w:r>
    </w:p>
  </w:endnote>
  <w:endnote w:type="continuationSeparator" w:id="1">
    <w:p w:rsidR="00FC27DC" w:rsidRDefault="00FC27DC">
      <w:r>
        <w:continuationSeparator/>
      </w:r>
    </w:p>
  </w:endnote>
</w:endnotes>
</file>

<file path=word/fontTable.xml><?xml version="1.0" encoding="utf-8"?>
<w:fonts xmlns:r="http://schemas.openxmlformats.org/officeDocument/2006/relationships" xmlns:w="http://schemas.openxmlformats.org/wordprocessingml/2006/main">
  <w:font w:name="仿宋_GB2312">
    <w:panose1 w:val="02010609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61002A87" w:usb1="80000000" w:usb2="00000008" w:usb3="00000000" w:csb0="000101FF"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2E61" w:rsidRDefault="002D68FD">
    <w:pPr>
      <w:pStyle w:val="ac"/>
      <w:jc w:val="center"/>
    </w:pPr>
    <w:r w:rsidRPr="002D68FD">
      <w:fldChar w:fldCharType="begin"/>
    </w:r>
    <w:r w:rsidR="00B62E61">
      <w:instrText>PAGE   \* MERGEFORMAT</w:instrText>
    </w:r>
    <w:r w:rsidRPr="002D68FD">
      <w:fldChar w:fldCharType="separate"/>
    </w:r>
    <w:r w:rsidR="004F5F93" w:rsidRPr="004F5F93">
      <w:rPr>
        <w:noProof/>
        <w:lang w:val="zh-CN"/>
      </w:rPr>
      <w:t>8</w:t>
    </w:r>
    <w:r>
      <w:rPr>
        <w:noProof/>
        <w:lang w:val="zh-CN"/>
      </w:rPr>
      <w:fldChar w:fldCharType="end"/>
    </w:r>
  </w:p>
  <w:p w:rsidR="00B62E61" w:rsidRDefault="00B62E61">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27DC" w:rsidRDefault="00FC27DC">
      <w:r>
        <w:separator/>
      </w:r>
    </w:p>
  </w:footnote>
  <w:footnote w:type="continuationSeparator" w:id="1">
    <w:p w:rsidR="00FC27DC" w:rsidRDefault="00FC27D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chineseCountingThousand"/>
      <w:lvlText w:val="第%1条"/>
      <w:lvlJc w:val="left"/>
      <w:pPr>
        <w:tabs>
          <w:tab w:val="num" w:pos="1429"/>
        </w:tabs>
        <w:ind w:left="85" w:firstLine="624"/>
      </w:pPr>
      <w:rPr>
        <w:rFonts w:ascii="仿宋_GB2312" w:eastAsia="仿宋_GB2312" w:hint="eastAsia"/>
        <w:b/>
        <w:i w:val="0"/>
        <w:color w:val="auto"/>
        <w:sz w:val="32"/>
        <w:szCs w:val="32"/>
        <w:lang w:val="en-US"/>
      </w:rPr>
    </w:lvl>
    <w:lvl w:ilvl="1">
      <w:start w:val="1"/>
      <w:numFmt w:val="japaneseCounting"/>
      <w:lvlText w:val="（%2）"/>
      <w:lvlJc w:val="left"/>
      <w:pPr>
        <w:tabs>
          <w:tab w:val="num" w:pos="64"/>
        </w:tabs>
        <w:ind w:left="64" w:hanging="720"/>
      </w:pPr>
      <w:rPr>
        <w:rFonts w:hint="eastAsia"/>
      </w:rPr>
    </w:lvl>
    <w:lvl w:ilvl="2">
      <w:start w:val="1"/>
      <w:numFmt w:val="lowerRoman"/>
      <w:lvlText w:val="%3."/>
      <w:lvlJc w:val="right"/>
      <w:pPr>
        <w:tabs>
          <w:tab w:val="num" w:pos="184"/>
        </w:tabs>
        <w:ind w:left="184" w:hanging="420"/>
      </w:pPr>
    </w:lvl>
    <w:lvl w:ilvl="3">
      <w:start w:val="1"/>
      <w:numFmt w:val="decimal"/>
      <w:lvlText w:val="%4."/>
      <w:lvlJc w:val="left"/>
      <w:pPr>
        <w:tabs>
          <w:tab w:val="num" w:pos="604"/>
        </w:tabs>
        <w:ind w:left="604" w:hanging="420"/>
      </w:pPr>
    </w:lvl>
    <w:lvl w:ilvl="4">
      <w:start w:val="1"/>
      <w:numFmt w:val="lowerLetter"/>
      <w:lvlText w:val="%5)"/>
      <w:lvlJc w:val="left"/>
      <w:pPr>
        <w:tabs>
          <w:tab w:val="num" w:pos="1024"/>
        </w:tabs>
        <w:ind w:left="1024" w:hanging="420"/>
      </w:pPr>
    </w:lvl>
    <w:lvl w:ilvl="5">
      <w:start w:val="1"/>
      <w:numFmt w:val="lowerRoman"/>
      <w:lvlText w:val="%6."/>
      <w:lvlJc w:val="right"/>
      <w:pPr>
        <w:tabs>
          <w:tab w:val="num" w:pos="1444"/>
        </w:tabs>
        <w:ind w:left="1444" w:hanging="420"/>
      </w:pPr>
    </w:lvl>
    <w:lvl w:ilvl="6">
      <w:start w:val="1"/>
      <w:numFmt w:val="decimal"/>
      <w:lvlText w:val="%7."/>
      <w:lvlJc w:val="left"/>
      <w:pPr>
        <w:tabs>
          <w:tab w:val="num" w:pos="1864"/>
        </w:tabs>
        <w:ind w:left="1864" w:hanging="420"/>
      </w:pPr>
    </w:lvl>
    <w:lvl w:ilvl="7">
      <w:start w:val="1"/>
      <w:numFmt w:val="lowerLetter"/>
      <w:lvlText w:val="%8)"/>
      <w:lvlJc w:val="left"/>
      <w:pPr>
        <w:tabs>
          <w:tab w:val="num" w:pos="2284"/>
        </w:tabs>
        <w:ind w:left="2284" w:hanging="420"/>
      </w:pPr>
    </w:lvl>
    <w:lvl w:ilvl="8">
      <w:start w:val="1"/>
      <w:numFmt w:val="lowerRoman"/>
      <w:lvlText w:val="%9."/>
      <w:lvlJc w:val="right"/>
      <w:pPr>
        <w:tabs>
          <w:tab w:val="num" w:pos="2704"/>
        </w:tabs>
        <w:ind w:left="2704" w:hanging="420"/>
      </w:pPr>
    </w:lvl>
  </w:abstractNum>
  <w:abstractNum w:abstractNumId="1">
    <w:nsid w:val="00000006"/>
    <w:multiLevelType w:val="singleLevel"/>
    <w:tmpl w:val="00000006"/>
    <w:lvl w:ilvl="0">
      <w:start w:val="1"/>
      <w:numFmt w:val="chineseCounting"/>
      <w:suff w:val="nothing"/>
      <w:lvlText w:val="（%1）"/>
      <w:lvlJc w:val="left"/>
    </w:lvl>
  </w:abstractNum>
  <w:abstractNum w:abstractNumId="2">
    <w:nsid w:val="00000009"/>
    <w:multiLevelType w:val="singleLevel"/>
    <w:tmpl w:val="00000009"/>
    <w:lvl w:ilvl="0">
      <w:start w:val="1"/>
      <w:numFmt w:val="chineseCounting"/>
      <w:suff w:val="nothing"/>
      <w:lvlText w:val="（%1）"/>
      <w:lvlJc w:val="left"/>
    </w:lvl>
  </w:abstractNum>
  <w:abstractNum w:abstractNumId="3">
    <w:nsid w:val="0000000B"/>
    <w:multiLevelType w:val="singleLevel"/>
    <w:tmpl w:val="0000000B"/>
    <w:lvl w:ilvl="0">
      <w:start w:val="1"/>
      <w:numFmt w:val="chineseCounting"/>
      <w:suff w:val="nothing"/>
      <w:lvlText w:val="（%1）"/>
      <w:lvlJc w:val="left"/>
    </w:lvl>
  </w:abstractNum>
  <w:abstractNum w:abstractNumId="4">
    <w:nsid w:val="045A12A9"/>
    <w:multiLevelType w:val="multilevel"/>
    <w:tmpl w:val="00000001"/>
    <w:lvl w:ilvl="0">
      <w:start w:val="1"/>
      <w:numFmt w:val="chineseCountingThousand"/>
      <w:lvlText w:val="第%1条"/>
      <w:lvlJc w:val="left"/>
      <w:pPr>
        <w:tabs>
          <w:tab w:val="num" w:pos="1429"/>
        </w:tabs>
        <w:ind w:left="85" w:firstLine="624"/>
      </w:pPr>
      <w:rPr>
        <w:rFonts w:ascii="仿宋_GB2312" w:eastAsia="仿宋_GB2312" w:hint="eastAsia"/>
        <w:b/>
        <w:i w:val="0"/>
        <w:color w:val="auto"/>
        <w:sz w:val="32"/>
        <w:szCs w:val="32"/>
        <w:lang w:val="en-US"/>
      </w:rPr>
    </w:lvl>
    <w:lvl w:ilvl="1">
      <w:start w:val="1"/>
      <w:numFmt w:val="japaneseCounting"/>
      <w:lvlText w:val="（%2）"/>
      <w:lvlJc w:val="left"/>
      <w:pPr>
        <w:tabs>
          <w:tab w:val="num" w:pos="64"/>
        </w:tabs>
        <w:ind w:left="64" w:hanging="720"/>
      </w:pPr>
      <w:rPr>
        <w:rFonts w:hint="eastAsia"/>
      </w:rPr>
    </w:lvl>
    <w:lvl w:ilvl="2">
      <w:start w:val="1"/>
      <w:numFmt w:val="lowerRoman"/>
      <w:lvlText w:val="%3."/>
      <w:lvlJc w:val="right"/>
      <w:pPr>
        <w:tabs>
          <w:tab w:val="num" w:pos="184"/>
        </w:tabs>
        <w:ind w:left="184" w:hanging="420"/>
      </w:pPr>
    </w:lvl>
    <w:lvl w:ilvl="3">
      <w:start w:val="1"/>
      <w:numFmt w:val="decimal"/>
      <w:lvlText w:val="%4."/>
      <w:lvlJc w:val="left"/>
      <w:pPr>
        <w:tabs>
          <w:tab w:val="num" w:pos="604"/>
        </w:tabs>
        <w:ind w:left="604" w:hanging="420"/>
      </w:pPr>
    </w:lvl>
    <w:lvl w:ilvl="4">
      <w:start w:val="1"/>
      <w:numFmt w:val="lowerLetter"/>
      <w:lvlText w:val="%5)"/>
      <w:lvlJc w:val="left"/>
      <w:pPr>
        <w:tabs>
          <w:tab w:val="num" w:pos="1024"/>
        </w:tabs>
        <w:ind w:left="1024" w:hanging="420"/>
      </w:pPr>
    </w:lvl>
    <w:lvl w:ilvl="5">
      <w:start w:val="1"/>
      <w:numFmt w:val="lowerRoman"/>
      <w:lvlText w:val="%6."/>
      <w:lvlJc w:val="right"/>
      <w:pPr>
        <w:tabs>
          <w:tab w:val="num" w:pos="1444"/>
        </w:tabs>
        <w:ind w:left="1444" w:hanging="420"/>
      </w:pPr>
    </w:lvl>
    <w:lvl w:ilvl="6">
      <w:start w:val="1"/>
      <w:numFmt w:val="decimal"/>
      <w:lvlText w:val="%7."/>
      <w:lvlJc w:val="left"/>
      <w:pPr>
        <w:tabs>
          <w:tab w:val="num" w:pos="1864"/>
        </w:tabs>
        <w:ind w:left="1864" w:hanging="420"/>
      </w:pPr>
    </w:lvl>
    <w:lvl w:ilvl="7">
      <w:start w:val="1"/>
      <w:numFmt w:val="lowerLetter"/>
      <w:lvlText w:val="%8)"/>
      <w:lvlJc w:val="left"/>
      <w:pPr>
        <w:tabs>
          <w:tab w:val="num" w:pos="2284"/>
        </w:tabs>
        <w:ind w:left="2284" w:hanging="420"/>
      </w:pPr>
    </w:lvl>
    <w:lvl w:ilvl="8">
      <w:start w:val="1"/>
      <w:numFmt w:val="lowerRoman"/>
      <w:lvlText w:val="%9."/>
      <w:lvlJc w:val="right"/>
      <w:pPr>
        <w:tabs>
          <w:tab w:val="num" w:pos="2704"/>
        </w:tabs>
        <w:ind w:left="2704" w:hanging="420"/>
      </w:pPr>
    </w:lvl>
  </w:abstractNum>
  <w:abstractNum w:abstractNumId="5">
    <w:nsid w:val="17793D6F"/>
    <w:multiLevelType w:val="singleLevel"/>
    <w:tmpl w:val="17793D6F"/>
    <w:lvl w:ilvl="0">
      <w:start w:val="2"/>
      <w:numFmt w:val="decimal"/>
      <w:suff w:val="space"/>
      <w:lvlText w:val="%1."/>
      <w:lvlJc w:val="left"/>
    </w:lvl>
  </w:abstractNum>
  <w:abstractNum w:abstractNumId="6">
    <w:nsid w:val="1D3821DB"/>
    <w:multiLevelType w:val="multilevel"/>
    <w:tmpl w:val="00000001"/>
    <w:lvl w:ilvl="0">
      <w:start w:val="1"/>
      <w:numFmt w:val="chineseCountingThousand"/>
      <w:lvlText w:val="第%1条"/>
      <w:lvlJc w:val="left"/>
      <w:pPr>
        <w:tabs>
          <w:tab w:val="num" w:pos="1429"/>
        </w:tabs>
        <w:ind w:left="85" w:firstLine="624"/>
      </w:pPr>
      <w:rPr>
        <w:rFonts w:ascii="仿宋_GB2312" w:eastAsia="仿宋_GB2312" w:hint="eastAsia"/>
        <w:b/>
        <w:i w:val="0"/>
        <w:color w:val="auto"/>
        <w:sz w:val="32"/>
        <w:szCs w:val="32"/>
        <w:lang w:val="en-US"/>
      </w:rPr>
    </w:lvl>
    <w:lvl w:ilvl="1">
      <w:start w:val="1"/>
      <w:numFmt w:val="japaneseCounting"/>
      <w:lvlText w:val="（%2）"/>
      <w:lvlJc w:val="left"/>
      <w:pPr>
        <w:tabs>
          <w:tab w:val="num" w:pos="64"/>
        </w:tabs>
        <w:ind w:left="64" w:hanging="720"/>
      </w:pPr>
      <w:rPr>
        <w:rFonts w:hint="eastAsia"/>
      </w:rPr>
    </w:lvl>
    <w:lvl w:ilvl="2">
      <w:start w:val="1"/>
      <w:numFmt w:val="lowerRoman"/>
      <w:lvlText w:val="%3."/>
      <w:lvlJc w:val="right"/>
      <w:pPr>
        <w:tabs>
          <w:tab w:val="num" w:pos="184"/>
        </w:tabs>
        <w:ind w:left="184" w:hanging="420"/>
      </w:pPr>
    </w:lvl>
    <w:lvl w:ilvl="3">
      <w:start w:val="1"/>
      <w:numFmt w:val="decimal"/>
      <w:lvlText w:val="%4."/>
      <w:lvlJc w:val="left"/>
      <w:pPr>
        <w:tabs>
          <w:tab w:val="num" w:pos="604"/>
        </w:tabs>
        <w:ind w:left="604" w:hanging="420"/>
      </w:pPr>
    </w:lvl>
    <w:lvl w:ilvl="4">
      <w:start w:val="1"/>
      <w:numFmt w:val="lowerLetter"/>
      <w:lvlText w:val="%5)"/>
      <w:lvlJc w:val="left"/>
      <w:pPr>
        <w:tabs>
          <w:tab w:val="num" w:pos="1024"/>
        </w:tabs>
        <w:ind w:left="1024" w:hanging="420"/>
      </w:pPr>
    </w:lvl>
    <w:lvl w:ilvl="5">
      <w:start w:val="1"/>
      <w:numFmt w:val="lowerRoman"/>
      <w:lvlText w:val="%6."/>
      <w:lvlJc w:val="right"/>
      <w:pPr>
        <w:tabs>
          <w:tab w:val="num" w:pos="1444"/>
        </w:tabs>
        <w:ind w:left="1444" w:hanging="420"/>
      </w:pPr>
    </w:lvl>
    <w:lvl w:ilvl="6">
      <w:start w:val="1"/>
      <w:numFmt w:val="decimal"/>
      <w:lvlText w:val="%7."/>
      <w:lvlJc w:val="left"/>
      <w:pPr>
        <w:tabs>
          <w:tab w:val="num" w:pos="1864"/>
        </w:tabs>
        <w:ind w:left="1864" w:hanging="420"/>
      </w:pPr>
    </w:lvl>
    <w:lvl w:ilvl="7">
      <w:start w:val="1"/>
      <w:numFmt w:val="lowerLetter"/>
      <w:lvlText w:val="%8)"/>
      <w:lvlJc w:val="left"/>
      <w:pPr>
        <w:tabs>
          <w:tab w:val="num" w:pos="2284"/>
        </w:tabs>
        <w:ind w:left="2284" w:hanging="420"/>
      </w:pPr>
    </w:lvl>
    <w:lvl w:ilvl="8">
      <w:start w:val="1"/>
      <w:numFmt w:val="lowerRoman"/>
      <w:lvlText w:val="%9."/>
      <w:lvlJc w:val="right"/>
      <w:pPr>
        <w:tabs>
          <w:tab w:val="num" w:pos="2704"/>
        </w:tabs>
        <w:ind w:left="2704" w:hanging="420"/>
      </w:pPr>
    </w:lvl>
  </w:abstractNum>
  <w:abstractNum w:abstractNumId="7">
    <w:nsid w:val="20911E92"/>
    <w:multiLevelType w:val="multilevel"/>
    <w:tmpl w:val="00000001"/>
    <w:lvl w:ilvl="0">
      <w:start w:val="1"/>
      <w:numFmt w:val="chineseCountingThousand"/>
      <w:lvlText w:val="第%1条"/>
      <w:lvlJc w:val="left"/>
      <w:pPr>
        <w:tabs>
          <w:tab w:val="num" w:pos="1429"/>
        </w:tabs>
        <w:ind w:left="85" w:firstLine="624"/>
      </w:pPr>
      <w:rPr>
        <w:rFonts w:ascii="仿宋_GB2312" w:eastAsia="仿宋_GB2312" w:hint="eastAsia"/>
        <w:b/>
        <w:i w:val="0"/>
        <w:color w:val="auto"/>
        <w:sz w:val="32"/>
        <w:szCs w:val="32"/>
        <w:lang w:val="en-US"/>
      </w:rPr>
    </w:lvl>
    <w:lvl w:ilvl="1">
      <w:start w:val="1"/>
      <w:numFmt w:val="japaneseCounting"/>
      <w:lvlText w:val="（%2）"/>
      <w:lvlJc w:val="left"/>
      <w:pPr>
        <w:tabs>
          <w:tab w:val="num" w:pos="64"/>
        </w:tabs>
        <w:ind w:left="64" w:hanging="720"/>
      </w:pPr>
      <w:rPr>
        <w:rFonts w:hint="eastAsia"/>
      </w:rPr>
    </w:lvl>
    <w:lvl w:ilvl="2">
      <w:start w:val="1"/>
      <w:numFmt w:val="lowerRoman"/>
      <w:lvlText w:val="%3."/>
      <w:lvlJc w:val="right"/>
      <w:pPr>
        <w:tabs>
          <w:tab w:val="num" w:pos="184"/>
        </w:tabs>
        <w:ind w:left="184" w:hanging="420"/>
      </w:pPr>
    </w:lvl>
    <w:lvl w:ilvl="3">
      <w:start w:val="1"/>
      <w:numFmt w:val="decimal"/>
      <w:lvlText w:val="%4."/>
      <w:lvlJc w:val="left"/>
      <w:pPr>
        <w:tabs>
          <w:tab w:val="num" w:pos="604"/>
        </w:tabs>
        <w:ind w:left="604" w:hanging="420"/>
      </w:pPr>
    </w:lvl>
    <w:lvl w:ilvl="4">
      <w:start w:val="1"/>
      <w:numFmt w:val="lowerLetter"/>
      <w:lvlText w:val="%5)"/>
      <w:lvlJc w:val="left"/>
      <w:pPr>
        <w:tabs>
          <w:tab w:val="num" w:pos="1024"/>
        </w:tabs>
        <w:ind w:left="1024" w:hanging="420"/>
      </w:pPr>
    </w:lvl>
    <w:lvl w:ilvl="5">
      <w:start w:val="1"/>
      <w:numFmt w:val="lowerRoman"/>
      <w:lvlText w:val="%6."/>
      <w:lvlJc w:val="right"/>
      <w:pPr>
        <w:tabs>
          <w:tab w:val="num" w:pos="1444"/>
        </w:tabs>
        <w:ind w:left="1444" w:hanging="420"/>
      </w:pPr>
    </w:lvl>
    <w:lvl w:ilvl="6">
      <w:start w:val="1"/>
      <w:numFmt w:val="decimal"/>
      <w:lvlText w:val="%7."/>
      <w:lvlJc w:val="left"/>
      <w:pPr>
        <w:tabs>
          <w:tab w:val="num" w:pos="1864"/>
        </w:tabs>
        <w:ind w:left="1864" w:hanging="420"/>
      </w:pPr>
    </w:lvl>
    <w:lvl w:ilvl="7">
      <w:start w:val="1"/>
      <w:numFmt w:val="lowerLetter"/>
      <w:lvlText w:val="%8)"/>
      <w:lvlJc w:val="left"/>
      <w:pPr>
        <w:tabs>
          <w:tab w:val="num" w:pos="2284"/>
        </w:tabs>
        <w:ind w:left="2284" w:hanging="420"/>
      </w:pPr>
    </w:lvl>
    <w:lvl w:ilvl="8">
      <w:start w:val="1"/>
      <w:numFmt w:val="lowerRoman"/>
      <w:lvlText w:val="%9."/>
      <w:lvlJc w:val="right"/>
      <w:pPr>
        <w:tabs>
          <w:tab w:val="num" w:pos="2704"/>
        </w:tabs>
        <w:ind w:left="2704" w:hanging="420"/>
      </w:pPr>
    </w:lvl>
  </w:abstractNum>
  <w:abstractNum w:abstractNumId="8">
    <w:nsid w:val="3691170C"/>
    <w:multiLevelType w:val="multilevel"/>
    <w:tmpl w:val="00000001"/>
    <w:lvl w:ilvl="0">
      <w:start w:val="1"/>
      <w:numFmt w:val="chineseCountingThousand"/>
      <w:lvlText w:val="第%1条"/>
      <w:lvlJc w:val="left"/>
      <w:pPr>
        <w:tabs>
          <w:tab w:val="num" w:pos="1429"/>
        </w:tabs>
        <w:ind w:left="85" w:firstLine="624"/>
      </w:pPr>
      <w:rPr>
        <w:rFonts w:ascii="仿宋_GB2312" w:eastAsia="仿宋_GB2312" w:hint="eastAsia"/>
        <w:b/>
        <w:i w:val="0"/>
        <w:color w:val="auto"/>
        <w:sz w:val="32"/>
        <w:szCs w:val="32"/>
        <w:lang w:val="en-US"/>
      </w:rPr>
    </w:lvl>
    <w:lvl w:ilvl="1">
      <w:start w:val="1"/>
      <w:numFmt w:val="japaneseCounting"/>
      <w:lvlText w:val="（%2）"/>
      <w:lvlJc w:val="left"/>
      <w:pPr>
        <w:tabs>
          <w:tab w:val="num" w:pos="64"/>
        </w:tabs>
        <w:ind w:left="64" w:hanging="720"/>
      </w:pPr>
      <w:rPr>
        <w:rFonts w:hint="eastAsia"/>
      </w:rPr>
    </w:lvl>
    <w:lvl w:ilvl="2">
      <w:start w:val="1"/>
      <w:numFmt w:val="lowerRoman"/>
      <w:lvlText w:val="%3."/>
      <w:lvlJc w:val="right"/>
      <w:pPr>
        <w:tabs>
          <w:tab w:val="num" w:pos="184"/>
        </w:tabs>
        <w:ind w:left="184" w:hanging="420"/>
      </w:pPr>
    </w:lvl>
    <w:lvl w:ilvl="3">
      <w:start w:val="1"/>
      <w:numFmt w:val="decimal"/>
      <w:lvlText w:val="%4."/>
      <w:lvlJc w:val="left"/>
      <w:pPr>
        <w:tabs>
          <w:tab w:val="num" w:pos="604"/>
        </w:tabs>
        <w:ind w:left="604" w:hanging="420"/>
      </w:pPr>
    </w:lvl>
    <w:lvl w:ilvl="4">
      <w:start w:val="1"/>
      <w:numFmt w:val="lowerLetter"/>
      <w:lvlText w:val="%5)"/>
      <w:lvlJc w:val="left"/>
      <w:pPr>
        <w:tabs>
          <w:tab w:val="num" w:pos="1024"/>
        </w:tabs>
        <w:ind w:left="1024" w:hanging="420"/>
      </w:pPr>
    </w:lvl>
    <w:lvl w:ilvl="5">
      <w:start w:val="1"/>
      <w:numFmt w:val="lowerRoman"/>
      <w:lvlText w:val="%6."/>
      <w:lvlJc w:val="right"/>
      <w:pPr>
        <w:tabs>
          <w:tab w:val="num" w:pos="1444"/>
        </w:tabs>
        <w:ind w:left="1444" w:hanging="420"/>
      </w:pPr>
    </w:lvl>
    <w:lvl w:ilvl="6">
      <w:start w:val="1"/>
      <w:numFmt w:val="decimal"/>
      <w:lvlText w:val="%7."/>
      <w:lvlJc w:val="left"/>
      <w:pPr>
        <w:tabs>
          <w:tab w:val="num" w:pos="1864"/>
        </w:tabs>
        <w:ind w:left="1864" w:hanging="420"/>
      </w:pPr>
    </w:lvl>
    <w:lvl w:ilvl="7">
      <w:start w:val="1"/>
      <w:numFmt w:val="lowerLetter"/>
      <w:lvlText w:val="%8)"/>
      <w:lvlJc w:val="left"/>
      <w:pPr>
        <w:tabs>
          <w:tab w:val="num" w:pos="2284"/>
        </w:tabs>
        <w:ind w:left="2284" w:hanging="420"/>
      </w:pPr>
    </w:lvl>
    <w:lvl w:ilvl="8">
      <w:start w:val="1"/>
      <w:numFmt w:val="lowerRoman"/>
      <w:lvlText w:val="%9."/>
      <w:lvlJc w:val="right"/>
      <w:pPr>
        <w:tabs>
          <w:tab w:val="num" w:pos="2704"/>
        </w:tabs>
        <w:ind w:left="2704" w:hanging="420"/>
      </w:pPr>
    </w:lvl>
  </w:abstractNum>
  <w:abstractNum w:abstractNumId="9">
    <w:nsid w:val="790B74E9"/>
    <w:multiLevelType w:val="multilevel"/>
    <w:tmpl w:val="00000001"/>
    <w:lvl w:ilvl="0">
      <w:start w:val="1"/>
      <w:numFmt w:val="chineseCountingThousand"/>
      <w:lvlText w:val="第%1条"/>
      <w:lvlJc w:val="left"/>
      <w:pPr>
        <w:tabs>
          <w:tab w:val="num" w:pos="1429"/>
        </w:tabs>
        <w:ind w:left="85" w:firstLine="624"/>
      </w:pPr>
      <w:rPr>
        <w:rFonts w:ascii="仿宋_GB2312" w:eastAsia="仿宋_GB2312" w:hint="eastAsia"/>
        <w:b/>
        <w:i w:val="0"/>
        <w:color w:val="auto"/>
        <w:sz w:val="32"/>
        <w:szCs w:val="32"/>
        <w:lang w:val="en-US"/>
      </w:rPr>
    </w:lvl>
    <w:lvl w:ilvl="1">
      <w:start w:val="1"/>
      <w:numFmt w:val="japaneseCounting"/>
      <w:lvlText w:val="（%2）"/>
      <w:lvlJc w:val="left"/>
      <w:pPr>
        <w:tabs>
          <w:tab w:val="num" w:pos="64"/>
        </w:tabs>
        <w:ind w:left="64" w:hanging="720"/>
      </w:pPr>
      <w:rPr>
        <w:rFonts w:hint="eastAsia"/>
      </w:rPr>
    </w:lvl>
    <w:lvl w:ilvl="2">
      <w:start w:val="1"/>
      <w:numFmt w:val="lowerRoman"/>
      <w:lvlText w:val="%3."/>
      <w:lvlJc w:val="right"/>
      <w:pPr>
        <w:tabs>
          <w:tab w:val="num" w:pos="184"/>
        </w:tabs>
        <w:ind w:left="184" w:hanging="420"/>
      </w:pPr>
    </w:lvl>
    <w:lvl w:ilvl="3">
      <w:start w:val="1"/>
      <w:numFmt w:val="decimal"/>
      <w:lvlText w:val="%4."/>
      <w:lvlJc w:val="left"/>
      <w:pPr>
        <w:tabs>
          <w:tab w:val="num" w:pos="604"/>
        </w:tabs>
        <w:ind w:left="604" w:hanging="420"/>
      </w:pPr>
    </w:lvl>
    <w:lvl w:ilvl="4">
      <w:start w:val="1"/>
      <w:numFmt w:val="lowerLetter"/>
      <w:lvlText w:val="%5)"/>
      <w:lvlJc w:val="left"/>
      <w:pPr>
        <w:tabs>
          <w:tab w:val="num" w:pos="1024"/>
        </w:tabs>
        <w:ind w:left="1024" w:hanging="420"/>
      </w:pPr>
    </w:lvl>
    <w:lvl w:ilvl="5">
      <w:start w:val="1"/>
      <w:numFmt w:val="lowerRoman"/>
      <w:lvlText w:val="%6."/>
      <w:lvlJc w:val="right"/>
      <w:pPr>
        <w:tabs>
          <w:tab w:val="num" w:pos="1444"/>
        </w:tabs>
        <w:ind w:left="1444" w:hanging="420"/>
      </w:pPr>
    </w:lvl>
    <w:lvl w:ilvl="6">
      <w:start w:val="1"/>
      <w:numFmt w:val="decimal"/>
      <w:lvlText w:val="%7."/>
      <w:lvlJc w:val="left"/>
      <w:pPr>
        <w:tabs>
          <w:tab w:val="num" w:pos="1864"/>
        </w:tabs>
        <w:ind w:left="1864" w:hanging="420"/>
      </w:pPr>
    </w:lvl>
    <w:lvl w:ilvl="7">
      <w:start w:val="1"/>
      <w:numFmt w:val="lowerLetter"/>
      <w:lvlText w:val="%8)"/>
      <w:lvlJc w:val="left"/>
      <w:pPr>
        <w:tabs>
          <w:tab w:val="num" w:pos="2284"/>
        </w:tabs>
        <w:ind w:left="2284" w:hanging="420"/>
      </w:pPr>
    </w:lvl>
    <w:lvl w:ilvl="8">
      <w:start w:val="1"/>
      <w:numFmt w:val="lowerRoman"/>
      <w:lvlText w:val="%9."/>
      <w:lvlJc w:val="right"/>
      <w:pPr>
        <w:tabs>
          <w:tab w:val="num" w:pos="2704"/>
        </w:tabs>
        <w:ind w:left="2704" w:hanging="420"/>
      </w:pPr>
    </w:lvl>
  </w:abstractNum>
  <w:num w:numId="1">
    <w:abstractNumId w:val="0"/>
  </w:num>
  <w:num w:numId="2">
    <w:abstractNumId w:val="5"/>
  </w:num>
  <w:num w:numId="3">
    <w:abstractNumId w:val="1"/>
  </w:num>
  <w:num w:numId="4">
    <w:abstractNumId w:val="3"/>
  </w:num>
  <w:num w:numId="5">
    <w:abstractNumId w:val="2"/>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4"/>
  </w:num>
  <w:num w:numId="9">
    <w:abstractNumId w:val="7"/>
  </w:num>
  <w:num w:numId="10">
    <w:abstractNumId w:val="6"/>
  </w:num>
  <w:num w:numId="11">
    <w:abstractNumId w:val="8"/>
  </w:num>
  <w:num w:numId="12">
    <w:abstractNumId w:val="1"/>
    <w:lvlOverride w:ilvl="0">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xchl">
    <w15:presenceInfo w15:providerId="None" w15:userId="xchl"/>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HorizontalSpacing w:val="0"/>
  <w:drawingGridVerticalSpacing w:val="156"/>
  <w:doNotShadeFormData/>
  <w:noPunctuationKerning/>
  <w:characterSpacingControl w:val="compressPunctuation"/>
  <w:doNotValidateAgainstSchema/>
  <w:doNotDemarcateInvalidXml/>
  <w:hdrShapeDefaults>
    <o:shapedefaults v:ext="edit" spidmax="56322"/>
  </w:hdrShapeDefaults>
  <w:footnotePr>
    <w:footnote w:id="0"/>
    <w:footnote w:id="1"/>
  </w:footnotePr>
  <w:endnotePr>
    <w:endnote w:id="0"/>
    <w:endnote w:id="1"/>
  </w:endnotePr>
  <w:compat>
    <w:spaceForUL/>
    <w:balanceSingleByteDoubleByteWidth/>
    <w:doNotLeaveBackslashAlone/>
    <w:doNotExpandShiftReturn/>
    <w:adjustLineHeightInTable/>
    <w:useFELayout/>
  </w:compat>
  <w:rsids>
    <w:rsidRoot w:val="00172A27"/>
    <w:rsid w:val="83E96ACE"/>
    <w:rsid w:val="9E5BF847"/>
    <w:rsid w:val="A227FE66"/>
    <w:rsid w:val="B1E2C656"/>
    <w:rsid w:val="C5272026"/>
    <w:rsid w:val="CC2CF566"/>
    <w:rsid w:val="F1236DFD"/>
    <w:rsid w:val="00000857"/>
    <w:rsid w:val="00000A1A"/>
    <w:rsid w:val="000022F5"/>
    <w:rsid w:val="0000302F"/>
    <w:rsid w:val="000030CE"/>
    <w:rsid w:val="00003818"/>
    <w:rsid w:val="00003857"/>
    <w:rsid w:val="000040CD"/>
    <w:rsid w:val="0000412F"/>
    <w:rsid w:val="00005ACF"/>
    <w:rsid w:val="000064FF"/>
    <w:rsid w:val="000101BF"/>
    <w:rsid w:val="000110DE"/>
    <w:rsid w:val="00011B3E"/>
    <w:rsid w:val="00012EAD"/>
    <w:rsid w:val="00012EEA"/>
    <w:rsid w:val="00012EEB"/>
    <w:rsid w:val="00013191"/>
    <w:rsid w:val="00013376"/>
    <w:rsid w:val="0001654C"/>
    <w:rsid w:val="000166E4"/>
    <w:rsid w:val="00016E58"/>
    <w:rsid w:val="000207B3"/>
    <w:rsid w:val="000209BD"/>
    <w:rsid w:val="00020A17"/>
    <w:rsid w:val="000212F5"/>
    <w:rsid w:val="00021E5C"/>
    <w:rsid w:val="0002209F"/>
    <w:rsid w:val="000252E3"/>
    <w:rsid w:val="0002554B"/>
    <w:rsid w:val="0002653C"/>
    <w:rsid w:val="0003028C"/>
    <w:rsid w:val="00030CDB"/>
    <w:rsid w:val="00033AEF"/>
    <w:rsid w:val="00033DF0"/>
    <w:rsid w:val="00034657"/>
    <w:rsid w:val="00035387"/>
    <w:rsid w:val="000356B2"/>
    <w:rsid w:val="00036D33"/>
    <w:rsid w:val="0003795C"/>
    <w:rsid w:val="00040068"/>
    <w:rsid w:val="000402B4"/>
    <w:rsid w:val="00040C2F"/>
    <w:rsid w:val="00041736"/>
    <w:rsid w:val="00041802"/>
    <w:rsid w:val="000441C6"/>
    <w:rsid w:val="00047801"/>
    <w:rsid w:val="00051579"/>
    <w:rsid w:val="000518CC"/>
    <w:rsid w:val="00052245"/>
    <w:rsid w:val="00053B6E"/>
    <w:rsid w:val="000547F4"/>
    <w:rsid w:val="0005483E"/>
    <w:rsid w:val="00054D55"/>
    <w:rsid w:val="00054DCE"/>
    <w:rsid w:val="00054E7D"/>
    <w:rsid w:val="000557FF"/>
    <w:rsid w:val="00055E84"/>
    <w:rsid w:val="00056024"/>
    <w:rsid w:val="000573A0"/>
    <w:rsid w:val="00061725"/>
    <w:rsid w:val="000641D4"/>
    <w:rsid w:val="00064640"/>
    <w:rsid w:val="00064F0F"/>
    <w:rsid w:val="0006525F"/>
    <w:rsid w:val="00065957"/>
    <w:rsid w:val="00065BCC"/>
    <w:rsid w:val="00066F2C"/>
    <w:rsid w:val="000679BF"/>
    <w:rsid w:val="00071096"/>
    <w:rsid w:val="00071385"/>
    <w:rsid w:val="00071714"/>
    <w:rsid w:val="000719D0"/>
    <w:rsid w:val="000720C2"/>
    <w:rsid w:val="000721C0"/>
    <w:rsid w:val="00072F88"/>
    <w:rsid w:val="000736E9"/>
    <w:rsid w:val="00074218"/>
    <w:rsid w:val="000749E6"/>
    <w:rsid w:val="00074EDD"/>
    <w:rsid w:val="00075364"/>
    <w:rsid w:val="000757C1"/>
    <w:rsid w:val="000759B3"/>
    <w:rsid w:val="000769E5"/>
    <w:rsid w:val="000779D4"/>
    <w:rsid w:val="00080F1F"/>
    <w:rsid w:val="00083C8A"/>
    <w:rsid w:val="00083EEA"/>
    <w:rsid w:val="000841E7"/>
    <w:rsid w:val="00085213"/>
    <w:rsid w:val="000859BA"/>
    <w:rsid w:val="00085DA4"/>
    <w:rsid w:val="000878F4"/>
    <w:rsid w:val="00087E4D"/>
    <w:rsid w:val="0009047E"/>
    <w:rsid w:val="000906D2"/>
    <w:rsid w:val="00090B47"/>
    <w:rsid w:val="000925EB"/>
    <w:rsid w:val="00093173"/>
    <w:rsid w:val="0009369E"/>
    <w:rsid w:val="00095214"/>
    <w:rsid w:val="00096484"/>
    <w:rsid w:val="00096755"/>
    <w:rsid w:val="0009696B"/>
    <w:rsid w:val="00096B17"/>
    <w:rsid w:val="0009778E"/>
    <w:rsid w:val="000A0C01"/>
    <w:rsid w:val="000A1A0E"/>
    <w:rsid w:val="000A21C7"/>
    <w:rsid w:val="000A24CE"/>
    <w:rsid w:val="000A351A"/>
    <w:rsid w:val="000A3B8A"/>
    <w:rsid w:val="000A4D29"/>
    <w:rsid w:val="000A570F"/>
    <w:rsid w:val="000A66DE"/>
    <w:rsid w:val="000B214A"/>
    <w:rsid w:val="000B6E8F"/>
    <w:rsid w:val="000B73CF"/>
    <w:rsid w:val="000B77FF"/>
    <w:rsid w:val="000B7C47"/>
    <w:rsid w:val="000C161A"/>
    <w:rsid w:val="000C2DB2"/>
    <w:rsid w:val="000C3428"/>
    <w:rsid w:val="000C5798"/>
    <w:rsid w:val="000C62B2"/>
    <w:rsid w:val="000C7C0D"/>
    <w:rsid w:val="000D0887"/>
    <w:rsid w:val="000D0D4D"/>
    <w:rsid w:val="000D1181"/>
    <w:rsid w:val="000D27C3"/>
    <w:rsid w:val="000D3348"/>
    <w:rsid w:val="000D5120"/>
    <w:rsid w:val="000D5433"/>
    <w:rsid w:val="000D5C4F"/>
    <w:rsid w:val="000D6B0D"/>
    <w:rsid w:val="000D7AA7"/>
    <w:rsid w:val="000E03EC"/>
    <w:rsid w:val="000E0667"/>
    <w:rsid w:val="000E0909"/>
    <w:rsid w:val="000E178A"/>
    <w:rsid w:val="000E1BDC"/>
    <w:rsid w:val="000E3470"/>
    <w:rsid w:val="000E3A11"/>
    <w:rsid w:val="000E3EA8"/>
    <w:rsid w:val="000E45EB"/>
    <w:rsid w:val="000E58D5"/>
    <w:rsid w:val="000E5FE6"/>
    <w:rsid w:val="000E7AF1"/>
    <w:rsid w:val="000F0B69"/>
    <w:rsid w:val="000F0C0B"/>
    <w:rsid w:val="000F0FF7"/>
    <w:rsid w:val="000F1892"/>
    <w:rsid w:val="000F1BFE"/>
    <w:rsid w:val="000F20B8"/>
    <w:rsid w:val="000F2481"/>
    <w:rsid w:val="000F3533"/>
    <w:rsid w:val="000F3F53"/>
    <w:rsid w:val="000F4333"/>
    <w:rsid w:val="000F4906"/>
    <w:rsid w:val="000F4A36"/>
    <w:rsid w:val="000F5570"/>
    <w:rsid w:val="000F74D2"/>
    <w:rsid w:val="000F7520"/>
    <w:rsid w:val="000F7ACB"/>
    <w:rsid w:val="001004F5"/>
    <w:rsid w:val="00101B56"/>
    <w:rsid w:val="00101D37"/>
    <w:rsid w:val="00102DCE"/>
    <w:rsid w:val="001050C6"/>
    <w:rsid w:val="00105F9B"/>
    <w:rsid w:val="00106141"/>
    <w:rsid w:val="00106421"/>
    <w:rsid w:val="0010682A"/>
    <w:rsid w:val="00107819"/>
    <w:rsid w:val="00110078"/>
    <w:rsid w:val="00111714"/>
    <w:rsid w:val="00112B4E"/>
    <w:rsid w:val="00113263"/>
    <w:rsid w:val="00113394"/>
    <w:rsid w:val="0011370C"/>
    <w:rsid w:val="001142C2"/>
    <w:rsid w:val="00115690"/>
    <w:rsid w:val="00115B10"/>
    <w:rsid w:val="00115FF6"/>
    <w:rsid w:val="00116F00"/>
    <w:rsid w:val="00117410"/>
    <w:rsid w:val="001213BC"/>
    <w:rsid w:val="001223FE"/>
    <w:rsid w:val="00124CA0"/>
    <w:rsid w:val="001261B1"/>
    <w:rsid w:val="00127B05"/>
    <w:rsid w:val="0013127F"/>
    <w:rsid w:val="00132302"/>
    <w:rsid w:val="0013299F"/>
    <w:rsid w:val="00135322"/>
    <w:rsid w:val="0013696C"/>
    <w:rsid w:val="00136F95"/>
    <w:rsid w:val="001406FD"/>
    <w:rsid w:val="00140D21"/>
    <w:rsid w:val="001433CB"/>
    <w:rsid w:val="00145680"/>
    <w:rsid w:val="00146060"/>
    <w:rsid w:val="00146461"/>
    <w:rsid w:val="00146F5F"/>
    <w:rsid w:val="0014747C"/>
    <w:rsid w:val="00151C4D"/>
    <w:rsid w:val="0015273A"/>
    <w:rsid w:val="00152811"/>
    <w:rsid w:val="00153018"/>
    <w:rsid w:val="00153296"/>
    <w:rsid w:val="00154136"/>
    <w:rsid w:val="00154408"/>
    <w:rsid w:val="00155A4D"/>
    <w:rsid w:val="00155BCF"/>
    <w:rsid w:val="00156C93"/>
    <w:rsid w:val="00160EA3"/>
    <w:rsid w:val="0016131F"/>
    <w:rsid w:val="00161F24"/>
    <w:rsid w:val="00162DEA"/>
    <w:rsid w:val="0016360D"/>
    <w:rsid w:val="001637C5"/>
    <w:rsid w:val="00164102"/>
    <w:rsid w:val="00164326"/>
    <w:rsid w:val="00164AF8"/>
    <w:rsid w:val="00164E69"/>
    <w:rsid w:val="00165B72"/>
    <w:rsid w:val="001668B8"/>
    <w:rsid w:val="001715AD"/>
    <w:rsid w:val="00171BB7"/>
    <w:rsid w:val="00172A27"/>
    <w:rsid w:val="00172CFD"/>
    <w:rsid w:val="00173070"/>
    <w:rsid w:val="001731CB"/>
    <w:rsid w:val="00174CFF"/>
    <w:rsid w:val="001763D2"/>
    <w:rsid w:val="00176E99"/>
    <w:rsid w:val="00177821"/>
    <w:rsid w:val="00177D0C"/>
    <w:rsid w:val="001805D4"/>
    <w:rsid w:val="00180B3A"/>
    <w:rsid w:val="00180B56"/>
    <w:rsid w:val="00180CBF"/>
    <w:rsid w:val="00181770"/>
    <w:rsid w:val="00181E60"/>
    <w:rsid w:val="00183109"/>
    <w:rsid w:val="001848A0"/>
    <w:rsid w:val="00185116"/>
    <w:rsid w:val="00187C08"/>
    <w:rsid w:val="00190988"/>
    <w:rsid w:val="00192BFD"/>
    <w:rsid w:val="00193A9B"/>
    <w:rsid w:val="0019425E"/>
    <w:rsid w:val="001944DA"/>
    <w:rsid w:val="001948F8"/>
    <w:rsid w:val="0019570E"/>
    <w:rsid w:val="00195739"/>
    <w:rsid w:val="001A2E2B"/>
    <w:rsid w:val="001A3100"/>
    <w:rsid w:val="001A4F32"/>
    <w:rsid w:val="001A60DD"/>
    <w:rsid w:val="001B1421"/>
    <w:rsid w:val="001B1BB7"/>
    <w:rsid w:val="001B266B"/>
    <w:rsid w:val="001B3DD7"/>
    <w:rsid w:val="001B3E7D"/>
    <w:rsid w:val="001B417D"/>
    <w:rsid w:val="001B46BB"/>
    <w:rsid w:val="001B5A7D"/>
    <w:rsid w:val="001B5C42"/>
    <w:rsid w:val="001B66FE"/>
    <w:rsid w:val="001B6AC6"/>
    <w:rsid w:val="001B7160"/>
    <w:rsid w:val="001B7486"/>
    <w:rsid w:val="001B7E3C"/>
    <w:rsid w:val="001C05B1"/>
    <w:rsid w:val="001C0C8E"/>
    <w:rsid w:val="001C1F81"/>
    <w:rsid w:val="001C2EBE"/>
    <w:rsid w:val="001C58B1"/>
    <w:rsid w:val="001C59CA"/>
    <w:rsid w:val="001C5F5D"/>
    <w:rsid w:val="001C6812"/>
    <w:rsid w:val="001C6A2A"/>
    <w:rsid w:val="001C7685"/>
    <w:rsid w:val="001C76B4"/>
    <w:rsid w:val="001D0593"/>
    <w:rsid w:val="001D0BAD"/>
    <w:rsid w:val="001D18E0"/>
    <w:rsid w:val="001D270A"/>
    <w:rsid w:val="001D3ED8"/>
    <w:rsid w:val="001D42DB"/>
    <w:rsid w:val="001D45F3"/>
    <w:rsid w:val="001D5B01"/>
    <w:rsid w:val="001D6387"/>
    <w:rsid w:val="001E007B"/>
    <w:rsid w:val="001E1563"/>
    <w:rsid w:val="001E18D3"/>
    <w:rsid w:val="001E3BDB"/>
    <w:rsid w:val="001E5E4D"/>
    <w:rsid w:val="001E5F5D"/>
    <w:rsid w:val="001E6286"/>
    <w:rsid w:val="001F0444"/>
    <w:rsid w:val="001F15C0"/>
    <w:rsid w:val="001F1C91"/>
    <w:rsid w:val="001F251A"/>
    <w:rsid w:val="001F2B77"/>
    <w:rsid w:val="001F44B8"/>
    <w:rsid w:val="001F4814"/>
    <w:rsid w:val="001F5150"/>
    <w:rsid w:val="001F54BE"/>
    <w:rsid w:val="001F5BC7"/>
    <w:rsid w:val="0020252D"/>
    <w:rsid w:val="002034B8"/>
    <w:rsid w:val="00203A4E"/>
    <w:rsid w:val="0020526A"/>
    <w:rsid w:val="00205700"/>
    <w:rsid w:val="00206274"/>
    <w:rsid w:val="0020651F"/>
    <w:rsid w:val="0020662E"/>
    <w:rsid w:val="00207E85"/>
    <w:rsid w:val="00210281"/>
    <w:rsid w:val="00210AD4"/>
    <w:rsid w:val="00211DEE"/>
    <w:rsid w:val="00212545"/>
    <w:rsid w:val="002129A5"/>
    <w:rsid w:val="00213E48"/>
    <w:rsid w:val="00215521"/>
    <w:rsid w:val="002158C0"/>
    <w:rsid w:val="00216685"/>
    <w:rsid w:val="002177E0"/>
    <w:rsid w:val="00217AF3"/>
    <w:rsid w:val="00224E94"/>
    <w:rsid w:val="00224F6C"/>
    <w:rsid w:val="002250D8"/>
    <w:rsid w:val="00225970"/>
    <w:rsid w:val="002274F2"/>
    <w:rsid w:val="00227A54"/>
    <w:rsid w:val="00232400"/>
    <w:rsid w:val="002335B5"/>
    <w:rsid w:val="00233D96"/>
    <w:rsid w:val="00235275"/>
    <w:rsid w:val="00235698"/>
    <w:rsid w:val="00241E90"/>
    <w:rsid w:val="00242C70"/>
    <w:rsid w:val="002430EC"/>
    <w:rsid w:val="00243603"/>
    <w:rsid w:val="0024363B"/>
    <w:rsid w:val="002438E5"/>
    <w:rsid w:val="00243E4D"/>
    <w:rsid w:val="002451A6"/>
    <w:rsid w:val="00247E87"/>
    <w:rsid w:val="0025065E"/>
    <w:rsid w:val="0025069C"/>
    <w:rsid w:val="00251CA1"/>
    <w:rsid w:val="002521F9"/>
    <w:rsid w:val="00252B15"/>
    <w:rsid w:val="00252EA2"/>
    <w:rsid w:val="00255E6D"/>
    <w:rsid w:val="00256D45"/>
    <w:rsid w:val="00256E31"/>
    <w:rsid w:val="002571AD"/>
    <w:rsid w:val="002607E8"/>
    <w:rsid w:val="00261784"/>
    <w:rsid w:val="00261AF3"/>
    <w:rsid w:val="002621EB"/>
    <w:rsid w:val="002635F6"/>
    <w:rsid w:val="0026395C"/>
    <w:rsid w:val="00264432"/>
    <w:rsid w:val="0026448F"/>
    <w:rsid w:val="00264B94"/>
    <w:rsid w:val="00266B32"/>
    <w:rsid w:val="00272B82"/>
    <w:rsid w:val="00273799"/>
    <w:rsid w:val="002743D4"/>
    <w:rsid w:val="0027519F"/>
    <w:rsid w:val="00275B3A"/>
    <w:rsid w:val="002763B6"/>
    <w:rsid w:val="002775EE"/>
    <w:rsid w:val="00277BD8"/>
    <w:rsid w:val="0028008E"/>
    <w:rsid w:val="00281717"/>
    <w:rsid w:val="0028213C"/>
    <w:rsid w:val="00282FDD"/>
    <w:rsid w:val="00283094"/>
    <w:rsid w:val="00284B86"/>
    <w:rsid w:val="00284F39"/>
    <w:rsid w:val="002850A7"/>
    <w:rsid w:val="002851FE"/>
    <w:rsid w:val="00286618"/>
    <w:rsid w:val="00291BB0"/>
    <w:rsid w:val="00292C2F"/>
    <w:rsid w:val="00293059"/>
    <w:rsid w:val="0029314E"/>
    <w:rsid w:val="0029422B"/>
    <w:rsid w:val="002957A8"/>
    <w:rsid w:val="00296057"/>
    <w:rsid w:val="0029753B"/>
    <w:rsid w:val="002A0C72"/>
    <w:rsid w:val="002A1DA6"/>
    <w:rsid w:val="002A39B8"/>
    <w:rsid w:val="002A5A7A"/>
    <w:rsid w:val="002A6287"/>
    <w:rsid w:val="002A6325"/>
    <w:rsid w:val="002A6EED"/>
    <w:rsid w:val="002B0D63"/>
    <w:rsid w:val="002B127A"/>
    <w:rsid w:val="002B1B04"/>
    <w:rsid w:val="002B2DC9"/>
    <w:rsid w:val="002B320D"/>
    <w:rsid w:val="002B5E7D"/>
    <w:rsid w:val="002B639B"/>
    <w:rsid w:val="002B6B65"/>
    <w:rsid w:val="002B6E39"/>
    <w:rsid w:val="002B716E"/>
    <w:rsid w:val="002B7F92"/>
    <w:rsid w:val="002C1287"/>
    <w:rsid w:val="002C2A12"/>
    <w:rsid w:val="002C31A6"/>
    <w:rsid w:val="002C3B40"/>
    <w:rsid w:val="002C3C42"/>
    <w:rsid w:val="002C4B0C"/>
    <w:rsid w:val="002C5093"/>
    <w:rsid w:val="002C62B2"/>
    <w:rsid w:val="002C63B6"/>
    <w:rsid w:val="002C6976"/>
    <w:rsid w:val="002C6CD8"/>
    <w:rsid w:val="002D0F9A"/>
    <w:rsid w:val="002D1743"/>
    <w:rsid w:val="002D1B52"/>
    <w:rsid w:val="002D2922"/>
    <w:rsid w:val="002D2F90"/>
    <w:rsid w:val="002D37AD"/>
    <w:rsid w:val="002D3BDA"/>
    <w:rsid w:val="002D3F52"/>
    <w:rsid w:val="002D4B1D"/>
    <w:rsid w:val="002D58E5"/>
    <w:rsid w:val="002D6063"/>
    <w:rsid w:val="002D68FD"/>
    <w:rsid w:val="002D70A3"/>
    <w:rsid w:val="002D772D"/>
    <w:rsid w:val="002E0B35"/>
    <w:rsid w:val="002E102A"/>
    <w:rsid w:val="002E1663"/>
    <w:rsid w:val="002E1805"/>
    <w:rsid w:val="002E2744"/>
    <w:rsid w:val="002E2D83"/>
    <w:rsid w:val="002E2F47"/>
    <w:rsid w:val="002E3243"/>
    <w:rsid w:val="002E3426"/>
    <w:rsid w:val="002E5054"/>
    <w:rsid w:val="002E57C6"/>
    <w:rsid w:val="002E5AC1"/>
    <w:rsid w:val="002E6424"/>
    <w:rsid w:val="002F06BD"/>
    <w:rsid w:val="002F07CC"/>
    <w:rsid w:val="002F0C60"/>
    <w:rsid w:val="002F16B2"/>
    <w:rsid w:val="002F1B5C"/>
    <w:rsid w:val="002F3F2C"/>
    <w:rsid w:val="002F496A"/>
    <w:rsid w:val="002F4B37"/>
    <w:rsid w:val="002F50B5"/>
    <w:rsid w:val="002F5D7E"/>
    <w:rsid w:val="002F5FA4"/>
    <w:rsid w:val="002F6C89"/>
    <w:rsid w:val="002F6D57"/>
    <w:rsid w:val="002F73F6"/>
    <w:rsid w:val="00300D7C"/>
    <w:rsid w:val="00301CE8"/>
    <w:rsid w:val="00301F14"/>
    <w:rsid w:val="00303ECE"/>
    <w:rsid w:val="0030477C"/>
    <w:rsid w:val="003061A4"/>
    <w:rsid w:val="00306594"/>
    <w:rsid w:val="00310663"/>
    <w:rsid w:val="00310C8B"/>
    <w:rsid w:val="0031125E"/>
    <w:rsid w:val="003113C7"/>
    <w:rsid w:val="00313938"/>
    <w:rsid w:val="00314E5B"/>
    <w:rsid w:val="0031578A"/>
    <w:rsid w:val="0031760C"/>
    <w:rsid w:val="003179A5"/>
    <w:rsid w:val="003179F2"/>
    <w:rsid w:val="0032073F"/>
    <w:rsid w:val="00323C75"/>
    <w:rsid w:val="0032432C"/>
    <w:rsid w:val="0032665C"/>
    <w:rsid w:val="00327550"/>
    <w:rsid w:val="00330CEF"/>
    <w:rsid w:val="003325E0"/>
    <w:rsid w:val="00333271"/>
    <w:rsid w:val="00333B48"/>
    <w:rsid w:val="00334FCB"/>
    <w:rsid w:val="003356C4"/>
    <w:rsid w:val="003358E8"/>
    <w:rsid w:val="00335CB9"/>
    <w:rsid w:val="0033642B"/>
    <w:rsid w:val="00337029"/>
    <w:rsid w:val="003373BD"/>
    <w:rsid w:val="00337846"/>
    <w:rsid w:val="00337B3C"/>
    <w:rsid w:val="00340226"/>
    <w:rsid w:val="0034113F"/>
    <w:rsid w:val="00341D90"/>
    <w:rsid w:val="00342213"/>
    <w:rsid w:val="0034395E"/>
    <w:rsid w:val="00343A5C"/>
    <w:rsid w:val="00343EC8"/>
    <w:rsid w:val="00344550"/>
    <w:rsid w:val="00345767"/>
    <w:rsid w:val="00345F9C"/>
    <w:rsid w:val="00345FF0"/>
    <w:rsid w:val="00346B75"/>
    <w:rsid w:val="00346E2B"/>
    <w:rsid w:val="00347F6D"/>
    <w:rsid w:val="0035307A"/>
    <w:rsid w:val="003531CB"/>
    <w:rsid w:val="00353A72"/>
    <w:rsid w:val="00354A00"/>
    <w:rsid w:val="00357C6E"/>
    <w:rsid w:val="00360138"/>
    <w:rsid w:val="003624C3"/>
    <w:rsid w:val="00363DC9"/>
    <w:rsid w:val="00364816"/>
    <w:rsid w:val="00364999"/>
    <w:rsid w:val="00365655"/>
    <w:rsid w:val="003665AA"/>
    <w:rsid w:val="0036743D"/>
    <w:rsid w:val="00367F02"/>
    <w:rsid w:val="00367F13"/>
    <w:rsid w:val="00370F02"/>
    <w:rsid w:val="003712F9"/>
    <w:rsid w:val="0037227E"/>
    <w:rsid w:val="00373934"/>
    <w:rsid w:val="00373C2B"/>
    <w:rsid w:val="003746E3"/>
    <w:rsid w:val="003755E3"/>
    <w:rsid w:val="00376729"/>
    <w:rsid w:val="00376FF2"/>
    <w:rsid w:val="00377BB7"/>
    <w:rsid w:val="00380C3A"/>
    <w:rsid w:val="00380CCC"/>
    <w:rsid w:val="0038167D"/>
    <w:rsid w:val="00381FD8"/>
    <w:rsid w:val="003825AD"/>
    <w:rsid w:val="003825B2"/>
    <w:rsid w:val="0038278F"/>
    <w:rsid w:val="00382AC0"/>
    <w:rsid w:val="00383DE5"/>
    <w:rsid w:val="0038496D"/>
    <w:rsid w:val="003868B1"/>
    <w:rsid w:val="0039042B"/>
    <w:rsid w:val="00391D8C"/>
    <w:rsid w:val="0039207E"/>
    <w:rsid w:val="00392BCE"/>
    <w:rsid w:val="00392E4D"/>
    <w:rsid w:val="00393C28"/>
    <w:rsid w:val="00393E38"/>
    <w:rsid w:val="003946D1"/>
    <w:rsid w:val="00394C0E"/>
    <w:rsid w:val="003976DE"/>
    <w:rsid w:val="00397CAF"/>
    <w:rsid w:val="003A0E19"/>
    <w:rsid w:val="003A19F5"/>
    <w:rsid w:val="003A1BB3"/>
    <w:rsid w:val="003A2612"/>
    <w:rsid w:val="003A4069"/>
    <w:rsid w:val="003A5381"/>
    <w:rsid w:val="003A6F05"/>
    <w:rsid w:val="003B04E1"/>
    <w:rsid w:val="003B0998"/>
    <w:rsid w:val="003B1755"/>
    <w:rsid w:val="003B250B"/>
    <w:rsid w:val="003B2812"/>
    <w:rsid w:val="003B2992"/>
    <w:rsid w:val="003B2A52"/>
    <w:rsid w:val="003B4719"/>
    <w:rsid w:val="003B6193"/>
    <w:rsid w:val="003C0471"/>
    <w:rsid w:val="003C1A81"/>
    <w:rsid w:val="003C4093"/>
    <w:rsid w:val="003C40C7"/>
    <w:rsid w:val="003C4B68"/>
    <w:rsid w:val="003C638D"/>
    <w:rsid w:val="003D1282"/>
    <w:rsid w:val="003D1A8F"/>
    <w:rsid w:val="003D563D"/>
    <w:rsid w:val="003E0046"/>
    <w:rsid w:val="003E106D"/>
    <w:rsid w:val="003E194A"/>
    <w:rsid w:val="003E1A25"/>
    <w:rsid w:val="003E2B79"/>
    <w:rsid w:val="003E2ECB"/>
    <w:rsid w:val="003E3171"/>
    <w:rsid w:val="003E34C6"/>
    <w:rsid w:val="003E39F9"/>
    <w:rsid w:val="003E4D70"/>
    <w:rsid w:val="003E5DE4"/>
    <w:rsid w:val="003E60D8"/>
    <w:rsid w:val="003E662F"/>
    <w:rsid w:val="003E7720"/>
    <w:rsid w:val="003F0A43"/>
    <w:rsid w:val="003F25D8"/>
    <w:rsid w:val="003F4225"/>
    <w:rsid w:val="003F4397"/>
    <w:rsid w:val="003F48DE"/>
    <w:rsid w:val="003F605B"/>
    <w:rsid w:val="003F6898"/>
    <w:rsid w:val="003F69B2"/>
    <w:rsid w:val="003F7F20"/>
    <w:rsid w:val="0040035F"/>
    <w:rsid w:val="004020A1"/>
    <w:rsid w:val="00402A3C"/>
    <w:rsid w:val="004061E2"/>
    <w:rsid w:val="00407F3D"/>
    <w:rsid w:val="00410DA2"/>
    <w:rsid w:val="0041100A"/>
    <w:rsid w:val="00411202"/>
    <w:rsid w:val="00411213"/>
    <w:rsid w:val="00411B5A"/>
    <w:rsid w:val="004123FC"/>
    <w:rsid w:val="00412760"/>
    <w:rsid w:val="004127F4"/>
    <w:rsid w:val="00412A10"/>
    <w:rsid w:val="00413460"/>
    <w:rsid w:val="004140E4"/>
    <w:rsid w:val="004140F3"/>
    <w:rsid w:val="00414EF4"/>
    <w:rsid w:val="00415B22"/>
    <w:rsid w:val="00420344"/>
    <w:rsid w:val="00422C26"/>
    <w:rsid w:val="00424415"/>
    <w:rsid w:val="0042456B"/>
    <w:rsid w:val="0042572D"/>
    <w:rsid w:val="004262CE"/>
    <w:rsid w:val="00426706"/>
    <w:rsid w:val="0042690C"/>
    <w:rsid w:val="0042724F"/>
    <w:rsid w:val="00430271"/>
    <w:rsid w:val="00431959"/>
    <w:rsid w:val="00432180"/>
    <w:rsid w:val="00433B7E"/>
    <w:rsid w:val="00433F60"/>
    <w:rsid w:val="00435DEB"/>
    <w:rsid w:val="00436357"/>
    <w:rsid w:val="00436D55"/>
    <w:rsid w:val="004374C5"/>
    <w:rsid w:val="00437D71"/>
    <w:rsid w:val="00437D8F"/>
    <w:rsid w:val="00437F01"/>
    <w:rsid w:val="00441CA0"/>
    <w:rsid w:val="00442652"/>
    <w:rsid w:val="00442B33"/>
    <w:rsid w:val="004435B9"/>
    <w:rsid w:val="00443844"/>
    <w:rsid w:val="00444C03"/>
    <w:rsid w:val="00447059"/>
    <w:rsid w:val="0044723D"/>
    <w:rsid w:val="004477A8"/>
    <w:rsid w:val="00447D78"/>
    <w:rsid w:val="00447F1E"/>
    <w:rsid w:val="00451CEB"/>
    <w:rsid w:val="00452478"/>
    <w:rsid w:val="004526DE"/>
    <w:rsid w:val="00453204"/>
    <w:rsid w:val="00453C08"/>
    <w:rsid w:val="00454AAE"/>
    <w:rsid w:val="0045578E"/>
    <w:rsid w:val="004564B6"/>
    <w:rsid w:val="00456E7B"/>
    <w:rsid w:val="00456EC7"/>
    <w:rsid w:val="0046134C"/>
    <w:rsid w:val="00461820"/>
    <w:rsid w:val="00462EA1"/>
    <w:rsid w:val="00463470"/>
    <w:rsid w:val="00463521"/>
    <w:rsid w:val="004635CE"/>
    <w:rsid w:val="00465270"/>
    <w:rsid w:val="004659BF"/>
    <w:rsid w:val="00467178"/>
    <w:rsid w:val="00467905"/>
    <w:rsid w:val="004726D8"/>
    <w:rsid w:val="004738B9"/>
    <w:rsid w:val="004742CF"/>
    <w:rsid w:val="00474E6E"/>
    <w:rsid w:val="00475035"/>
    <w:rsid w:val="0047537B"/>
    <w:rsid w:val="00476CB6"/>
    <w:rsid w:val="00476D70"/>
    <w:rsid w:val="0047703D"/>
    <w:rsid w:val="0047731A"/>
    <w:rsid w:val="004775CA"/>
    <w:rsid w:val="004800B4"/>
    <w:rsid w:val="0048064C"/>
    <w:rsid w:val="0048096B"/>
    <w:rsid w:val="00481CC2"/>
    <w:rsid w:val="00482F86"/>
    <w:rsid w:val="00485C5E"/>
    <w:rsid w:val="00486247"/>
    <w:rsid w:val="00487BEF"/>
    <w:rsid w:val="004909B6"/>
    <w:rsid w:val="00491B2E"/>
    <w:rsid w:val="0049223B"/>
    <w:rsid w:val="004929EF"/>
    <w:rsid w:val="00493DA4"/>
    <w:rsid w:val="004943A9"/>
    <w:rsid w:val="00495A9A"/>
    <w:rsid w:val="004A0737"/>
    <w:rsid w:val="004A100C"/>
    <w:rsid w:val="004A1A8A"/>
    <w:rsid w:val="004A1D66"/>
    <w:rsid w:val="004A28E1"/>
    <w:rsid w:val="004A333F"/>
    <w:rsid w:val="004A3EC3"/>
    <w:rsid w:val="004A41CA"/>
    <w:rsid w:val="004A4637"/>
    <w:rsid w:val="004A4EFA"/>
    <w:rsid w:val="004A619D"/>
    <w:rsid w:val="004A642C"/>
    <w:rsid w:val="004A7AC2"/>
    <w:rsid w:val="004A7BD8"/>
    <w:rsid w:val="004B28DC"/>
    <w:rsid w:val="004B3583"/>
    <w:rsid w:val="004B3964"/>
    <w:rsid w:val="004B3CC7"/>
    <w:rsid w:val="004B3E81"/>
    <w:rsid w:val="004B3F7C"/>
    <w:rsid w:val="004B45BD"/>
    <w:rsid w:val="004B4B8D"/>
    <w:rsid w:val="004B5789"/>
    <w:rsid w:val="004B59BC"/>
    <w:rsid w:val="004B680C"/>
    <w:rsid w:val="004C0645"/>
    <w:rsid w:val="004C0E94"/>
    <w:rsid w:val="004C12D1"/>
    <w:rsid w:val="004C1559"/>
    <w:rsid w:val="004C23C0"/>
    <w:rsid w:val="004C3280"/>
    <w:rsid w:val="004C50CD"/>
    <w:rsid w:val="004C74AE"/>
    <w:rsid w:val="004D01F6"/>
    <w:rsid w:val="004D0278"/>
    <w:rsid w:val="004D1716"/>
    <w:rsid w:val="004D359C"/>
    <w:rsid w:val="004D5123"/>
    <w:rsid w:val="004D5C37"/>
    <w:rsid w:val="004D6D79"/>
    <w:rsid w:val="004D6E8F"/>
    <w:rsid w:val="004D72C2"/>
    <w:rsid w:val="004D73D3"/>
    <w:rsid w:val="004E15EF"/>
    <w:rsid w:val="004E1F15"/>
    <w:rsid w:val="004E3D60"/>
    <w:rsid w:val="004E4AA1"/>
    <w:rsid w:val="004E53BC"/>
    <w:rsid w:val="004E563F"/>
    <w:rsid w:val="004E56EB"/>
    <w:rsid w:val="004E5970"/>
    <w:rsid w:val="004E5D07"/>
    <w:rsid w:val="004E5F08"/>
    <w:rsid w:val="004E67B9"/>
    <w:rsid w:val="004E72F8"/>
    <w:rsid w:val="004E7C50"/>
    <w:rsid w:val="004E7D61"/>
    <w:rsid w:val="004F38A7"/>
    <w:rsid w:val="004F40D4"/>
    <w:rsid w:val="004F5E1E"/>
    <w:rsid w:val="004F5F93"/>
    <w:rsid w:val="004F6E08"/>
    <w:rsid w:val="004F7112"/>
    <w:rsid w:val="004F78CF"/>
    <w:rsid w:val="00500773"/>
    <w:rsid w:val="00501175"/>
    <w:rsid w:val="00504610"/>
    <w:rsid w:val="00504BD7"/>
    <w:rsid w:val="00506579"/>
    <w:rsid w:val="00507D5E"/>
    <w:rsid w:val="00507FD4"/>
    <w:rsid w:val="00510FD0"/>
    <w:rsid w:val="005117AB"/>
    <w:rsid w:val="00511E35"/>
    <w:rsid w:val="00513653"/>
    <w:rsid w:val="00513C81"/>
    <w:rsid w:val="005164C1"/>
    <w:rsid w:val="00517F8B"/>
    <w:rsid w:val="0052231F"/>
    <w:rsid w:val="00527C95"/>
    <w:rsid w:val="005302A3"/>
    <w:rsid w:val="00531A9B"/>
    <w:rsid w:val="00531C95"/>
    <w:rsid w:val="00532873"/>
    <w:rsid w:val="00536A72"/>
    <w:rsid w:val="00536B1B"/>
    <w:rsid w:val="00537787"/>
    <w:rsid w:val="005378B6"/>
    <w:rsid w:val="00540D4E"/>
    <w:rsid w:val="0054182E"/>
    <w:rsid w:val="005419B7"/>
    <w:rsid w:val="00541FF6"/>
    <w:rsid w:val="0054257C"/>
    <w:rsid w:val="00544071"/>
    <w:rsid w:val="00545F46"/>
    <w:rsid w:val="005475F3"/>
    <w:rsid w:val="00547654"/>
    <w:rsid w:val="005476FA"/>
    <w:rsid w:val="00547880"/>
    <w:rsid w:val="00547D1B"/>
    <w:rsid w:val="00547E58"/>
    <w:rsid w:val="00550519"/>
    <w:rsid w:val="0055148C"/>
    <w:rsid w:val="00552274"/>
    <w:rsid w:val="00552F47"/>
    <w:rsid w:val="00554B75"/>
    <w:rsid w:val="00554C46"/>
    <w:rsid w:val="00562019"/>
    <w:rsid w:val="005623F8"/>
    <w:rsid w:val="00563461"/>
    <w:rsid w:val="00563A08"/>
    <w:rsid w:val="00563FB2"/>
    <w:rsid w:val="00565774"/>
    <w:rsid w:val="00565AC1"/>
    <w:rsid w:val="00565C62"/>
    <w:rsid w:val="00566982"/>
    <w:rsid w:val="00567382"/>
    <w:rsid w:val="005676F4"/>
    <w:rsid w:val="005677E8"/>
    <w:rsid w:val="00567D22"/>
    <w:rsid w:val="005703B8"/>
    <w:rsid w:val="005707C4"/>
    <w:rsid w:val="00572510"/>
    <w:rsid w:val="005733F3"/>
    <w:rsid w:val="005736E4"/>
    <w:rsid w:val="00574C83"/>
    <w:rsid w:val="00575041"/>
    <w:rsid w:val="00575202"/>
    <w:rsid w:val="00577EBD"/>
    <w:rsid w:val="00580FB8"/>
    <w:rsid w:val="0058204E"/>
    <w:rsid w:val="00582277"/>
    <w:rsid w:val="0058362F"/>
    <w:rsid w:val="005852A3"/>
    <w:rsid w:val="00587161"/>
    <w:rsid w:val="00587433"/>
    <w:rsid w:val="00591115"/>
    <w:rsid w:val="00593A55"/>
    <w:rsid w:val="005959FB"/>
    <w:rsid w:val="00595D8F"/>
    <w:rsid w:val="00597047"/>
    <w:rsid w:val="0059763C"/>
    <w:rsid w:val="005A1077"/>
    <w:rsid w:val="005A2101"/>
    <w:rsid w:val="005A2541"/>
    <w:rsid w:val="005A3DDB"/>
    <w:rsid w:val="005A4CCF"/>
    <w:rsid w:val="005A6040"/>
    <w:rsid w:val="005B0D65"/>
    <w:rsid w:val="005B1140"/>
    <w:rsid w:val="005B22B4"/>
    <w:rsid w:val="005B3D3F"/>
    <w:rsid w:val="005B4586"/>
    <w:rsid w:val="005B4741"/>
    <w:rsid w:val="005B5EC8"/>
    <w:rsid w:val="005B78E0"/>
    <w:rsid w:val="005B7F5A"/>
    <w:rsid w:val="005C15E9"/>
    <w:rsid w:val="005C19FC"/>
    <w:rsid w:val="005C382E"/>
    <w:rsid w:val="005C38D9"/>
    <w:rsid w:val="005C4376"/>
    <w:rsid w:val="005C55FA"/>
    <w:rsid w:val="005C67EE"/>
    <w:rsid w:val="005C6CE0"/>
    <w:rsid w:val="005C6E9C"/>
    <w:rsid w:val="005D2535"/>
    <w:rsid w:val="005D32D4"/>
    <w:rsid w:val="005D3894"/>
    <w:rsid w:val="005D42F1"/>
    <w:rsid w:val="005D4C25"/>
    <w:rsid w:val="005D5EEE"/>
    <w:rsid w:val="005D6F0C"/>
    <w:rsid w:val="005D7492"/>
    <w:rsid w:val="005D7BC1"/>
    <w:rsid w:val="005E0820"/>
    <w:rsid w:val="005E0BBE"/>
    <w:rsid w:val="005E36FD"/>
    <w:rsid w:val="005E481F"/>
    <w:rsid w:val="005E4ECD"/>
    <w:rsid w:val="005E623C"/>
    <w:rsid w:val="005E7FDE"/>
    <w:rsid w:val="005F15A0"/>
    <w:rsid w:val="005F19C5"/>
    <w:rsid w:val="005F20EE"/>
    <w:rsid w:val="005F27DA"/>
    <w:rsid w:val="005F34CD"/>
    <w:rsid w:val="005F44CA"/>
    <w:rsid w:val="00600086"/>
    <w:rsid w:val="0060051E"/>
    <w:rsid w:val="0060091D"/>
    <w:rsid w:val="00600C69"/>
    <w:rsid w:val="006016BF"/>
    <w:rsid w:val="00601BB2"/>
    <w:rsid w:val="00601D04"/>
    <w:rsid w:val="00601D1E"/>
    <w:rsid w:val="00602ACE"/>
    <w:rsid w:val="006033B6"/>
    <w:rsid w:val="0060342B"/>
    <w:rsid w:val="006069B1"/>
    <w:rsid w:val="00606C39"/>
    <w:rsid w:val="00607174"/>
    <w:rsid w:val="006071A4"/>
    <w:rsid w:val="00607635"/>
    <w:rsid w:val="00610336"/>
    <w:rsid w:val="00610517"/>
    <w:rsid w:val="006106A6"/>
    <w:rsid w:val="006121AF"/>
    <w:rsid w:val="006124EE"/>
    <w:rsid w:val="006125A5"/>
    <w:rsid w:val="0061307C"/>
    <w:rsid w:val="00613E90"/>
    <w:rsid w:val="006141C4"/>
    <w:rsid w:val="00615442"/>
    <w:rsid w:val="00616233"/>
    <w:rsid w:val="006163D1"/>
    <w:rsid w:val="00617108"/>
    <w:rsid w:val="00617310"/>
    <w:rsid w:val="0062042C"/>
    <w:rsid w:val="00620AE8"/>
    <w:rsid w:val="006233E1"/>
    <w:rsid w:val="00625BCE"/>
    <w:rsid w:val="0062600A"/>
    <w:rsid w:val="0063085C"/>
    <w:rsid w:val="00630A2F"/>
    <w:rsid w:val="00630B26"/>
    <w:rsid w:val="00631DF5"/>
    <w:rsid w:val="006347AA"/>
    <w:rsid w:val="00636C08"/>
    <w:rsid w:val="00637201"/>
    <w:rsid w:val="00637DEE"/>
    <w:rsid w:val="00640794"/>
    <w:rsid w:val="00641626"/>
    <w:rsid w:val="00642E7D"/>
    <w:rsid w:val="006433E1"/>
    <w:rsid w:val="0064356B"/>
    <w:rsid w:val="00643DDA"/>
    <w:rsid w:val="00643F75"/>
    <w:rsid w:val="00644074"/>
    <w:rsid w:val="00644A65"/>
    <w:rsid w:val="006457E5"/>
    <w:rsid w:val="00647AED"/>
    <w:rsid w:val="00650AE3"/>
    <w:rsid w:val="00651C74"/>
    <w:rsid w:val="00651DDB"/>
    <w:rsid w:val="0065303F"/>
    <w:rsid w:val="00653C9C"/>
    <w:rsid w:val="00653E56"/>
    <w:rsid w:val="00654380"/>
    <w:rsid w:val="00654443"/>
    <w:rsid w:val="00655551"/>
    <w:rsid w:val="00656210"/>
    <w:rsid w:val="00656C15"/>
    <w:rsid w:val="0066001A"/>
    <w:rsid w:val="00661138"/>
    <w:rsid w:val="00661532"/>
    <w:rsid w:val="00663890"/>
    <w:rsid w:val="00663E4B"/>
    <w:rsid w:val="0066637D"/>
    <w:rsid w:val="00666A0A"/>
    <w:rsid w:val="00671274"/>
    <w:rsid w:val="00671E26"/>
    <w:rsid w:val="00672057"/>
    <w:rsid w:val="00672734"/>
    <w:rsid w:val="0067491A"/>
    <w:rsid w:val="0067521A"/>
    <w:rsid w:val="00675814"/>
    <w:rsid w:val="006759D6"/>
    <w:rsid w:val="00675A4F"/>
    <w:rsid w:val="00676299"/>
    <w:rsid w:val="006762B2"/>
    <w:rsid w:val="006763C9"/>
    <w:rsid w:val="0068292B"/>
    <w:rsid w:val="00682C43"/>
    <w:rsid w:val="006834B2"/>
    <w:rsid w:val="00683650"/>
    <w:rsid w:val="00683E40"/>
    <w:rsid w:val="00684878"/>
    <w:rsid w:val="00684C34"/>
    <w:rsid w:val="00686A96"/>
    <w:rsid w:val="00690EAC"/>
    <w:rsid w:val="00692BC0"/>
    <w:rsid w:val="006934E0"/>
    <w:rsid w:val="0069362E"/>
    <w:rsid w:val="00694818"/>
    <w:rsid w:val="0069524E"/>
    <w:rsid w:val="00695393"/>
    <w:rsid w:val="006956B7"/>
    <w:rsid w:val="00696310"/>
    <w:rsid w:val="0069733F"/>
    <w:rsid w:val="006A0196"/>
    <w:rsid w:val="006A0551"/>
    <w:rsid w:val="006A199E"/>
    <w:rsid w:val="006A2951"/>
    <w:rsid w:val="006A2D12"/>
    <w:rsid w:val="006A3665"/>
    <w:rsid w:val="006A38EB"/>
    <w:rsid w:val="006A5E07"/>
    <w:rsid w:val="006A6E8F"/>
    <w:rsid w:val="006B0332"/>
    <w:rsid w:val="006B13C8"/>
    <w:rsid w:val="006B245E"/>
    <w:rsid w:val="006B2888"/>
    <w:rsid w:val="006B2E87"/>
    <w:rsid w:val="006B4107"/>
    <w:rsid w:val="006B5530"/>
    <w:rsid w:val="006B5C0E"/>
    <w:rsid w:val="006B7BD5"/>
    <w:rsid w:val="006C0C66"/>
    <w:rsid w:val="006C2A39"/>
    <w:rsid w:val="006C4FE7"/>
    <w:rsid w:val="006C64AE"/>
    <w:rsid w:val="006C6558"/>
    <w:rsid w:val="006D0933"/>
    <w:rsid w:val="006D1348"/>
    <w:rsid w:val="006D3691"/>
    <w:rsid w:val="006D36D3"/>
    <w:rsid w:val="006D4A29"/>
    <w:rsid w:val="006D4AFB"/>
    <w:rsid w:val="006D4F36"/>
    <w:rsid w:val="006D6703"/>
    <w:rsid w:val="006D6836"/>
    <w:rsid w:val="006D752F"/>
    <w:rsid w:val="006E0B51"/>
    <w:rsid w:val="006E12CC"/>
    <w:rsid w:val="006E1507"/>
    <w:rsid w:val="006E15E2"/>
    <w:rsid w:val="006E329A"/>
    <w:rsid w:val="006E42BC"/>
    <w:rsid w:val="006E5ABB"/>
    <w:rsid w:val="006E5BB2"/>
    <w:rsid w:val="006E68A3"/>
    <w:rsid w:val="006E7B9D"/>
    <w:rsid w:val="006F18A6"/>
    <w:rsid w:val="006F204C"/>
    <w:rsid w:val="006F2F33"/>
    <w:rsid w:val="006F3554"/>
    <w:rsid w:val="006F3CFA"/>
    <w:rsid w:val="006F6DDF"/>
    <w:rsid w:val="006F71F9"/>
    <w:rsid w:val="00700B01"/>
    <w:rsid w:val="00702175"/>
    <w:rsid w:val="007021D7"/>
    <w:rsid w:val="0070291F"/>
    <w:rsid w:val="00704D8D"/>
    <w:rsid w:val="0070560B"/>
    <w:rsid w:val="0071020A"/>
    <w:rsid w:val="0071129D"/>
    <w:rsid w:val="00713298"/>
    <w:rsid w:val="007138DF"/>
    <w:rsid w:val="00715249"/>
    <w:rsid w:val="00715EC5"/>
    <w:rsid w:val="00716677"/>
    <w:rsid w:val="007169DC"/>
    <w:rsid w:val="00717538"/>
    <w:rsid w:val="0072082C"/>
    <w:rsid w:val="00720EBA"/>
    <w:rsid w:val="00721492"/>
    <w:rsid w:val="007221F8"/>
    <w:rsid w:val="007246CE"/>
    <w:rsid w:val="00724873"/>
    <w:rsid w:val="00724C72"/>
    <w:rsid w:val="007262FA"/>
    <w:rsid w:val="007267D5"/>
    <w:rsid w:val="00726B80"/>
    <w:rsid w:val="00730400"/>
    <w:rsid w:val="007305E3"/>
    <w:rsid w:val="00731599"/>
    <w:rsid w:val="00732B49"/>
    <w:rsid w:val="007338C0"/>
    <w:rsid w:val="00733B0F"/>
    <w:rsid w:val="007368B7"/>
    <w:rsid w:val="007409DE"/>
    <w:rsid w:val="00740CDD"/>
    <w:rsid w:val="007417F0"/>
    <w:rsid w:val="00741CA3"/>
    <w:rsid w:val="00742AFC"/>
    <w:rsid w:val="00742B8E"/>
    <w:rsid w:val="00742E30"/>
    <w:rsid w:val="0074389E"/>
    <w:rsid w:val="00743BA9"/>
    <w:rsid w:val="00746C9F"/>
    <w:rsid w:val="00751938"/>
    <w:rsid w:val="00752C79"/>
    <w:rsid w:val="00752CC3"/>
    <w:rsid w:val="007538E2"/>
    <w:rsid w:val="00753A50"/>
    <w:rsid w:val="00754216"/>
    <w:rsid w:val="00754F41"/>
    <w:rsid w:val="00755837"/>
    <w:rsid w:val="0075689B"/>
    <w:rsid w:val="00757A27"/>
    <w:rsid w:val="00757DE7"/>
    <w:rsid w:val="0076103F"/>
    <w:rsid w:val="007617A5"/>
    <w:rsid w:val="00761815"/>
    <w:rsid w:val="00762FE8"/>
    <w:rsid w:val="007642DD"/>
    <w:rsid w:val="007646C8"/>
    <w:rsid w:val="00765153"/>
    <w:rsid w:val="00770C3D"/>
    <w:rsid w:val="00771D09"/>
    <w:rsid w:val="0077259F"/>
    <w:rsid w:val="00772A46"/>
    <w:rsid w:val="0077352D"/>
    <w:rsid w:val="00773700"/>
    <w:rsid w:val="007738A5"/>
    <w:rsid w:val="00773A02"/>
    <w:rsid w:val="0077545C"/>
    <w:rsid w:val="0077596B"/>
    <w:rsid w:val="007761DE"/>
    <w:rsid w:val="00776EBD"/>
    <w:rsid w:val="0078040E"/>
    <w:rsid w:val="00780BE0"/>
    <w:rsid w:val="007820BF"/>
    <w:rsid w:val="0078294C"/>
    <w:rsid w:val="00782C0A"/>
    <w:rsid w:val="00784648"/>
    <w:rsid w:val="00785263"/>
    <w:rsid w:val="00785348"/>
    <w:rsid w:val="007853E7"/>
    <w:rsid w:val="00785D56"/>
    <w:rsid w:val="00786C85"/>
    <w:rsid w:val="00787907"/>
    <w:rsid w:val="00790028"/>
    <w:rsid w:val="00790375"/>
    <w:rsid w:val="00791672"/>
    <w:rsid w:val="00792D96"/>
    <w:rsid w:val="00793A52"/>
    <w:rsid w:val="00793DF3"/>
    <w:rsid w:val="0079577C"/>
    <w:rsid w:val="00795B9A"/>
    <w:rsid w:val="00796C01"/>
    <w:rsid w:val="00797756"/>
    <w:rsid w:val="007A1B27"/>
    <w:rsid w:val="007A2379"/>
    <w:rsid w:val="007A4080"/>
    <w:rsid w:val="007A4B58"/>
    <w:rsid w:val="007A4DAC"/>
    <w:rsid w:val="007A5394"/>
    <w:rsid w:val="007A58D4"/>
    <w:rsid w:val="007A5D3B"/>
    <w:rsid w:val="007A6DE7"/>
    <w:rsid w:val="007A742A"/>
    <w:rsid w:val="007A7E41"/>
    <w:rsid w:val="007A7E4B"/>
    <w:rsid w:val="007B046E"/>
    <w:rsid w:val="007B0BC9"/>
    <w:rsid w:val="007B20F9"/>
    <w:rsid w:val="007B2CF1"/>
    <w:rsid w:val="007B5243"/>
    <w:rsid w:val="007B52CC"/>
    <w:rsid w:val="007B66A4"/>
    <w:rsid w:val="007B7286"/>
    <w:rsid w:val="007B7871"/>
    <w:rsid w:val="007C0D09"/>
    <w:rsid w:val="007C1161"/>
    <w:rsid w:val="007C328D"/>
    <w:rsid w:val="007C3CC3"/>
    <w:rsid w:val="007C4F63"/>
    <w:rsid w:val="007C55B7"/>
    <w:rsid w:val="007C7E10"/>
    <w:rsid w:val="007D00B2"/>
    <w:rsid w:val="007D2125"/>
    <w:rsid w:val="007D3862"/>
    <w:rsid w:val="007D3E67"/>
    <w:rsid w:val="007D466C"/>
    <w:rsid w:val="007D4CAF"/>
    <w:rsid w:val="007D695D"/>
    <w:rsid w:val="007D747B"/>
    <w:rsid w:val="007E1C72"/>
    <w:rsid w:val="007E2C29"/>
    <w:rsid w:val="007E317D"/>
    <w:rsid w:val="007E34FB"/>
    <w:rsid w:val="007E3506"/>
    <w:rsid w:val="007E3A7B"/>
    <w:rsid w:val="007E3FB2"/>
    <w:rsid w:val="007E41AB"/>
    <w:rsid w:val="007E6F57"/>
    <w:rsid w:val="007F0945"/>
    <w:rsid w:val="007F15AE"/>
    <w:rsid w:val="007F3DBB"/>
    <w:rsid w:val="007F3F26"/>
    <w:rsid w:val="007F4077"/>
    <w:rsid w:val="007F4C47"/>
    <w:rsid w:val="007F6C74"/>
    <w:rsid w:val="007F6E42"/>
    <w:rsid w:val="008013EE"/>
    <w:rsid w:val="0080171F"/>
    <w:rsid w:val="008027D7"/>
    <w:rsid w:val="008031A4"/>
    <w:rsid w:val="008036B9"/>
    <w:rsid w:val="00803EB8"/>
    <w:rsid w:val="00805582"/>
    <w:rsid w:val="0080618B"/>
    <w:rsid w:val="00806965"/>
    <w:rsid w:val="00810A78"/>
    <w:rsid w:val="00810EB4"/>
    <w:rsid w:val="0081185A"/>
    <w:rsid w:val="0081259D"/>
    <w:rsid w:val="00813600"/>
    <w:rsid w:val="00814092"/>
    <w:rsid w:val="00814431"/>
    <w:rsid w:val="00814AD0"/>
    <w:rsid w:val="00814B74"/>
    <w:rsid w:val="00815D6D"/>
    <w:rsid w:val="00816DB9"/>
    <w:rsid w:val="00817498"/>
    <w:rsid w:val="0081763C"/>
    <w:rsid w:val="008177E1"/>
    <w:rsid w:val="00817AE6"/>
    <w:rsid w:val="0082046C"/>
    <w:rsid w:val="0082060B"/>
    <w:rsid w:val="008218D4"/>
    <w:rsid w:val="00822581"/>
    <w:rsid w:val="00822C72"/>
    <w:rsid w:val="00822DC1"/>
    <w:rsid w:val="00825459"/>
    <w:rsid w:val="00825620"/>
    <w:rsid w:val="0082563B"/>
    <w:rsid w:val="008258A1"/>
    <w:rsid w:val="008265C2"/>
    <w:rsid w:val="00827B7B"/>
    <w:rsid w:val="0083079C"/>
    <w:rsid w:val="00831351"/>
    <w:rsid w:val="0083158B"/>
    <w:rsid w:val="00831598"/>
    <w:rsid w:val="00833C47"/>
    <w:rsid w:val="0083567A"/>
    <w:rsid w:val="0083684D"/>
    <w:rsid w:val="008379D2"/>
    <w:rsid w:val="00840396"/>
    <w:rsid w:val="008406B9"/>
    <w:rsid w:val="00841F61"/>
    <w:rsid w:val="008427A1"/>
    <w:rsid w:val="00843B78"/>
    <w:rsid w:val="0084503B"/>
    <w:rsid w:val="008453BD"/>
    <w:rsid w:val="00845E34"/>
    <w:rsid w:val="008465DE"/>
    <w:rsid w:val="00846BA3"/>
    <w:rsid w:val="008473E7"/>
    <w:rsid w:val="00847DB1"/>
    <w:rsid w:val="00850727"/>
    <w:rsid w:val="00850AEF"/>
    <w:rsid w:val="00850C99"/>
    <w:rsid w:val="008510FD"/>
    <w:rsid w:val="00853F6E"/>
    <w:rsid w:val="008550DD"/>
    <w:rsid w:val="008554A2"/>
    <w:rsid w:val="00856B6D"/>
    <w:rsid w:val="00860334"/>
    <w:rsid w:val="0086124C"/>
    <w:rsid w:val="008617BB"/>
    <w:rsid w:val="00863310"/>
    <w:rsid w:val="00866CB4"/>
    <w:rsid w:val="00866E29"/>
    <w:rsid w:val="00867D4B"/>
    <w:rsid w:val="0087126E"/>
    <w:rsid w:val="0087166D"/>
    <w:rsid w:val="00872BE4"/>
    <w:rsid w:val="00873D4A"/>
    <w:rsid w:val="00875AA9"/>
    <w:rsid w:val="00875DE2"/>
    <w:rsid w:val="00875FE3"/>
    <w:rsid w:val="00877C1D"/>
    <w:rsid w:val="00877E45"/>
    <w:rsid w:val="00880FDB"/>
    <w:rsid w:val="00881BA7"/>
    <w:rsid w:val="0088230B"/>
    <w:rsid w:val="00883A42"/>
    <w:rsid w:val="00884978"/>
    <w:rsid w:val="008859F4"/>
    <w:rsid w:val="00885B51"/>
    <w:rsid w:val="00885DA1"/>
    <w:rsid w:val="008864BA"/>
    <w:rsid w:val="0088652A"/>
    <w:rsid w:val="00887CC5"/>
    <w:rsid w:val="008906B0"/>
    <w:rsid w:val="00890A85"/>
    <w:rsid w:val="00891470"/>
    <w:rsid w:val="0089170E"/>
    <w:rsid w:val="008930F0"/>
    <w:rsid w:val="00894072"/>
    <w:rsid w:val="008950CB"/>
    <w:rsid w:val="008966D0"/>
    <w:rsid w:val="00896E9D"/>
    <w:rsid w:val="00897418"/>
    <w:rsid w:val="008A037D"/>
    <w:rsid w:val="008A2D24"/>
    <w:rsid w:val="008A4365"/>
    <w:rsid w:val="008A44E6"/>
    <w:rsid w:val="008A5542"/>
    <w:rsid w:val="008A5C8A"/>
    <w:rsid w:val="008A60E4"/>
    <w:rsid w:val="008A6BD6"/>
    <w:rsid w:val="008A778D"/>
    <w:rsid w:val="008A7B01"/>
    <w:rsid w:val="008B04D7"/>
    <w:rsid w:val="008B079E"/>
    <w:rsid w:val="008B0E36"/>
    <w:rsid w:val="008B2015"/>
    <w:rsid w:val="008B29C9"/>
    <w:rsid w:val="008B3D74"/>
    <w:rsid w:val="008B4DC7"/>
    <w:rsid w:val="008C04AC"/>
    <w:rsid w:val="008C19CE"/>
    <w:rsid w:val="008C26CD"/>
    <w:rsid w:val="008C412C"/>
    <w:rsid w:val="008C4821"/>
    <w:rsid w:val="008C6631"/>
    <w:rsid w:val="008C6E0A"/>
    <w:rsid w:val="008C7BF0"/>
    <w:rsid w:val="008C7D55"/>
    <w:rsid w:val="008D021F"/>
    <w:rsid w:val="008D08F3"/>
    <w:rsid w:val="008D0ECB"/>
    <w:rsid w:val="008D211E"/>
    <w:rsid w:val="008D2462"/>
    <w:rsid w:val="008D31DC"/>
    <w:rsid w:val="008D3A20"/>
    <w:rsid w:val="008D5DC5"/>
    <w:rsid w:val="008D5E4F"/>
    <w:rsid w:val="008D62DA"/>
    <w:rsid w:val="008D6561"/>
    <w:rsid w:val="008D70D6"/>
    <w:rsid w:val="008D76BF"/>
    <w:rsid w:val="008E174E"/>
    <w:rsid w:val="008E1BD5"/>
    <w:rsid w:val="008E2C7B"/>
    <w:rsid w:val="008E357E"/>
    <w:rsid w:val="008E3BB3"/>
    <w:rsid w:val="008E48A1"/>
    <w:rsid w:val="008E49BA"/>
    <w:rsid w:val="008E5574"/>
    <w:rsid w:val="008E5F2F"/>
    <w:rsid w:val="008E690D"/>
    <w:rsid w:val="008F0213"/>
    <w:rsid w:val="008F038E"/>
    <w:rsid w:val="008F1955"/>
    <w:rsid w:val="008F4C72"/>
    <w:rsid w:val="008F540B"/>
    <w:rsid w:val="008F5B76"/>
    <w:rsid w:val="008F647F"/>
    <w:rsid w:val="008F69AF"/>
    <w:rsid w:val="008F7B02"/>
    <w:rsid w:val="009009CD"/>
    <w:rsid w:val="00901029"/>
    <w:rsid w:val="00901AEC"/>
    <w:rsid w:val="00902B12"/>
    <w:rsid w:val="00902D02"/>
    <w:rsid w:val="00902D9A"/>
    <w:rsid w:val="009030E2"/>
    <w:rsid w:val="00904F46"/>
    <w:rsid w:val="00905DE7"/>
    <w:rsid w:val="009077F8"/>
    <w:rsid w:val="00910866"/>
    <w:rsid w:val="00912725"/>
    <w:rsid w:val="00912D36"/>
    <w:rsid w:val="009141A6"/>
    <w:rsid w:val="00914618"/>
    <w:rsid w:val="0091521F"/>
    <w:rsid w:val="00915704"/>
    <w:rsid w:val="009165CA"/>
    <w:rsid w:val="009173B7"/>
    <w:rsid w:val="00920B2A"/>
    <w:rsid w:val="00923BDB"/>
    <w:rsid w:val="00923E27"/>
    <w:rsid w:val="009256E1"/>
    <w:rsid w:val="00926088"/>
    <w:rsid w:val="00927A09"/>
    <w:rsid w:val="009309A9"/>
    <w:rsid w:val="0093278F"/>
    <w:rsid w:val="0093454C"/>
    <w:rsid w:val="0093590C"/>
    <w:rsid w:val="00935C83"/>
    <w:rsid w:val="00936E14"/>
    <w:rsid w:val="00940C00"/>
    <w:rsid w:val="00940E27"/>
    <w:rsid w:val="009418C4"/>
    <w:rsid w:val="009437DC"/>
    <w:rsid w:val="009448F0"/>
    <w:rsid w:val="009451DD"/>
    <w:rsid w:val="009455BA"/>
    <w:rsid w:val="00945CBC"/>
    <w:rsid w:val="00945EDA"/>
    <w:rsid w:val="00947643"/>
    <w:rsid w:val="00947769"/>
    <w:rsid w:val="0094796E"/>
    <w:rsid w:val="0095248D"/>
    <w:rsid w:val="00952E0C"/>
    <w:rsid w:val="0095343A"/>
    <w:rsid w:val="00953EC5"/>
    <w:rsid w:val="009545ED"/>
    <w:rsid w:val="009546BC"/>
    <w:rsid w:val="00954B39"/>
    <w:rsid w:val="00954C10"/>
    <w:rsid w:val="00954DE6"/>
    <w:rsid w:val="0095514D"/>
    <w:rsid w:val="0095544C"/>
    <w:rsid w:val="009604F4"/>
    <w:rsid w:val="00962D25"/>
    <w:rsid w:val="00962D3E"/>
    <w:rsid w:val="00963200"/>
    <w:rsid w:val="00963577"/>
    <w:rsid w:val="0096392A"/>
    <w:rsid w:val="00967060"/>
    <w:rsid w:val="00967C2D"/>
    <w:rsid w:val="00970461"/>
    <w:rsid w:val="0097162B"/>
    <w:rsid w:val="00972032"/>
    <w:rsid w:val="0097248E"/>
    <w:rsid w:val="009738A1"/>
    <w:rsid w:val="00974EDF"/>
    <w:rsid w:val="00975C25"/>
    <w:rsid w:val="0097631B"/>
    <w:rsid w:val="0097695F"/>
    <w:rsid w:val="00980105"/>
    <w:rsid w:val="00982177"/>
    <w:rsid w:val="00982A17"/>
    <w:rsid w:val="00982CA3"/>
    <w:rsid w:val="009834C9"/>
    <w:rsid w:val="009836B2"/>
    <w:rsid w:val="00983AF0"/>
    <w:rsid w:val="00983E13"/>
    <w:rsid w:val="00984BB5"/>
    <w:rsid w:val="009857EA"/>
    <w:rsid w:val="00986052"/>
    <w:rsid w:val="00986BDE"/>
    <w:rsid w:val="009901FF"/>
    <w:rsid w:val="00991E4C"/>
    <w:rsid w:val="0099206C"/>
    <w:rsid w:val="0099341D"/>
    <w:rsid w:val="00993D5A"/>
    <w:rsid w:val="009940AD"/>
    <w:rsid w:val="00994EBB"/>
    <w:rsid w:val="00995525"/>
    <w:rsid w:val="00995AC2"/>
    <w:rsid w:val="00995BD2"/>
    <w:rsid w:val="009963FB"/>
    <w:rsid w:val="0099641F"/>
    <w:rsid w:val="00997A5C"/>
    <w:rsid w:val="009A0DD9"/>
    <w:rsid w:val="009A0E9C"/>
    <w:rsid w:val="009A1E62"/>
    <w:rsid w:val="009A23E3"/>
    <w:rsid w:val="009A23F2"/>
    <w:rsid w:val="009A3963"/>
    <w:rsid w:val="009A48C5"/>
    <w:rsid w:val="009A719D"/>
    <w:rsid w:val="009B0319"/>
    <w:rsid w:val="009B1556"/>
    <w:rsid w:val="009B1A12"/>
    <w:rsid w:val="009B1AB6"/>
    <w:rsid w:val="009B2376"/>
    <w:rsid w:val="009B334A"/>
    <w:rsid w:val="009B41D7"/>
    <w:rsid w:val="009B451B"/>
    <w:rsid w:val="009B525E"/>
    <w:rsid w:val="009B7F85"/>
    <w:rsid w:val="009B7FC6"/>
    <w:rsid w:val="009B7FC7"/>
    <w:rsid w:val="009C07F9"/>
    <w:rsid w:val="009C0E77"/>
    <w:rsid w:val="009C2B60"/>
    <w:rsid w:val="009C5366"/>
    <w:rsid w:val="009D1923"/>
    <w:rsid w:val="009D2861"/>
    <w:rsid w:val="009D2A91"/>
    <w:rsid w:val="009D3628"/>
    <w:rsid w:val="009D587F"/>
    <w:rsid w:val="009D5FC0"/>
    <w:rsid w:val="009D654A"/>
    <w:rsid w:val="009D7663"/>
    <w:rsid w:val="009D76EE"/>
    <w:rsid w:val="009E022B"/>
    <w:rsid w:val="009E0526"/>
    <w:rsid w:val="009E1A59"/>
    <w:rsid w:val="009E1A71"/>
    <w:rsid w:val="009E2F23"/>
    <w:rsid w:val="009E35E2"/>
    <w:rsid w:val="009E5057"/>
    <w:rsid w:val="009E5646"/>
    <w:rsid w:val="009E7555"/>
    <w:rsid w:val="009E7D38"/>
    <w:rsid w:val="009F0CBB"/>
    <w:rsid w:val="009F220E"/>
    <w:rsid w:val="009F44F6"/>
    <w:rsid w:val="009F4ED1"/>
    <w:rsid w:val="009F5AD1"/>
    <w:rsid w:val="009F6E23"/>
    <w:rsid w:val="009F7C3B"/>
    <w:rsid w:val="00A00F52"/>
    <w:rsid w:val="00A01F4F"/>
    <w:rsid w:val="00A02264"/>
    <w:rsid w:val="00A02C53"/>
    <w:rsid w:val="00A07FB4"/>
    <w:rsid w:val="00A10A8F"/>
    <w:rsid w:val="00A1176B"/>
    <w:rsid w:val="00A11AF1"/>
    <w:rsid w:val="00A12593"/>
    <w:rsid w:val="00A12D99"/>
    <w:rsid w:val="00A14206"/>
    <w:rsid w:val="00A1444D"/>
    <w:rsid w:val="00A145E0"/>
    <w:rsid w:val="00A14F3B"/>
    <w:rsid w:val="00A15154"/>
    <w:rsid w:val="00A15E09"/>
    <w:rsid w:val="00A1604F"/>
    <w:rsid w:val="00A16CB1"/>
    <w:rsid w:val="00A2050C"/>
    <w:rsid w:val="00A20B25"/>
    <w:rsid w:val="00A22A42"/>
    <w:rsid w:val="00A22E93"/>
    <w:rsid w:val="00A23552"/>
    <w:rsid w:val="00A23791"/>
    <w:rsid w:val="00A23A1F"/>
    <w:rsid w:val="00A241E1"/>
    <w:rsid w:val="00A24217"/>
    <w:rsid w:val="00A24BBA"/>
    <w:rsid w:val="00A256AD"/>
    <w:rsid w:val="00A259C5"/>
    <w:rsid w:val="00A25D61"/>
    <w:rsid w:val="00A301F2"/>
    <w:rsid w:val="00A308DA"/>
    <w:rsid w:val="00A32182"/>
    <w:rsid w:val="00A32780"/>
    <w:rsid w:val="00A32B74"/>
    <w:rsid w:val="00A32EEE"/>
    <w:rsid w:val="00A330B2"/>
    <w:rsid w:val="00A348F8"/>
    <w:rsid w:val="00A354EF"/>
    <w:rsid w:val="00A36038"/>
    <w:rsid w:val="00A36738"/>
    <w:rsid w:val="00A370BB"/>
    <w:rsid w:val="00A379E3"/>
    <w:rsid w:val="00A41712"/>
    <w:rsid w:val="00A42AA3"/>
    <w:rsid w:val="00A42FBE"/>
    <w:rsid w:val="00A4446F"/>
    <w:rsid w:val="00A45738"/>
    <w:rsid w:val="00A52000"/>
    <w:rsid w:val="00A5339E"/>
    <w:rsid w:val="00A54DAE"/>
    <w:rsid w:val="00A55030"/>
    <w:rsid w:val="00A55680"/>
    <w:rsid w:val="00A56181"/>
    <w:rsid w:val="00A566A3"/>
    <w:rsid w:val="00A5718B"/>
    <w:rsid w:val="00A5740C"/>
    <w:rsid w:val="00A6010D"/>
    <w:rsid w:val="00A608BE"/>
    <w:rsid w:val="00A61232"/>
    <w:rsid w:val="00A61720"/>
    <w:rsid w:val="00A62DFD"/>
    <w:rsid w:val="00A634E9"/>
    <w:rsid w:val="00A63A64"/>
    <w:rsid w:val="00A63CBF"/>
    <w:rsid w:val="00A6536F"/>
    <w:rsid w:val="00A656FD"/>
    <w:rsid w:val="00A6594C"/>
    <w:rsid w:val="00A67115"/>
    <w:rsid w:val="00A67380"/>
    <w:rsid w:val="00A709FF"/>
    <w:rsid w:val="00A71178"/>
    <w:rsid w:val="00A7379B"/>
    <w:rsid w:val="00A74CB6"/>
    <w:rsid w:val="00A76E14"/>
    <w:rsid w:val="00A806F4"/>
    <w:rsid w:val="00A8297F"/>
    <w:rsid w:val="00A836D0"/>
    <w:rsid w:val="00A837E4"/>
    <w:rsid w:val="00A84057"/>
    <w:rsid w:val="00A84341"/>
    <w:rsid w:val="00A845A9"/>
    <w:rsid w:val="00A85589"/>
    <w:rsid w:val="00A862D9"/>
    <w:rsid w:val="00A87809"/>
    <w:rsid w:val="00A9297B"/>
    <w:rsid w:val="00A93815"/>
    <w:rsid w:val="00A9413A"/>
    <w:rsid w:val="00A94157"/>
    <w:rsid w:val="00A944CE"/>
    <w:rsid w:val="00A9483F"/>
    <w:rsid w:val="00A95378"/>
    <w:rsid w:val="00A953DF"/>
    <w:rsid w:val="00A95BFF"/>
    <w:rsid w:val="00A96209"/>
    <w:rsid w:val="00A97CE7"/>
    <w:rsid w:val="00AA1B13"/>
    <w:rsid w:val="00AA22EA"/>
    <w:rsid w:val="00AA23E8"/>
    <w:rsid w:val="00AA43FB"/>
    <w:rsid w:val="00AA575F"/>
    <w:rsid w:val="00AA5F00"/>
    <w:rsid w:val="00AA6499"/>
    <w:rsid w:val="00AA67E0"/>
    <w:rsid w:val="00AA6F44"/>
    <w:rsid w:val="00AB0184"/>
    <w:rsid w:val="00AB0C9D"/>
    <w:rsid w:val="00AB1659"/>
    <w:rsid w:val="00AB1864"/>
    <w:rsid w:val="00AB1E7D"/>
    <w:rsid w:val="00AB22E5"/>
    <w:rsid w:val="00AB2AE1"/>
    <w:rsid w:val="00AB35C0"/>
    <w:rsid w:val="00AB3670"/>
    <w:rsid w:val="00AB7B0B"/>
    <w:rsid w:val="00AC091C"/>
    <w:rsid w:val="00AC258B"/>
    <w:rsid w:val="00AC30E6"/>
    <w:rsid w:val="00AC34D0"/>
    <w:rsid w:val="00AC3E62"/>
    <w:rsid w:val="00AC47B9"/>
    <w:rsid w:val="00AC4917"/>
    <w:rsid w:val="00AC602A"/>
    <w:rsid w:val="00AC658C"/>
    <w:rsid w:val="00AD1685"/>
    <w:rsid w:val="00AD18FE"/>
    <w:rsid w:val="00AD3B99"/>
    <w:rsid w:val="00AD3CDF"/>
    <w:rsid w:val="00AD4A6E"/>
    <w:rsid w:val="00AD57F7"/>
    <w:rsid w:val="00AD63FF"/>
    <w:rsid w:val="00AD643F"/>
    <w:rsid w:val="00AD6D54"/>
    <w:rsid w:val="00AD7673"/>
    <w:rsid w:val="00AD7699"/>
    <w:rsid w:val="00AE069B"/>
    <w:rsid w:val="00AE2FE7"/>
    <w:rsid w:val="00AE648E"/>
    <w:rsid w:val="00AE6B76"/>
    <w:rsid w:val="00AE6FAE"/>
    <w:rsid w:val="00AF1E8C"/>
    <w:rsid w:val="00AF2B76"/>
    <w:rsid w:val="00AF39EC"/>
    <w:rsid w:val="00AF4060"/>
    <w:rsid w:val="00AF4A33"/>
    <w:rsid w:val="00AF4A76"/>
    <w:rsid w:val="00AF4C48"/>
    <w:rsid w:val="00AF535F"/>
    <w:rsid w:val="00AF5744"/>
    <w:rsid w:val="00AF676B"/>
    <w:rsid w:val="00AF6AAA"/>
    <w:rsid w:val="00B016EB"/>
    <w:rsid w:val="00B03271"/>
    <w:rsid w:val="00B048C3"/>
    <w:rsid w:val="00B05390"/>
    <w:rsid w:val="00B053D1"/>
    <w:rsid w:val="00B05C1A"/>
    <w:rsid w:val="00B06682"/>
    <w:rsid w:val="00B067C7"/>
    <w:rsid w:val="00B07E85"/>
    <w:rsid w:val="00B12F87"/>
    <w:rsid w:val="00B12FBF"/>
    <w:rsid w:val="00B13F82"/>
    <w:rsid w:val="00B15302"/>
    <w:rsid w:val="00B15315"/>
    <w:rsid w:val="00B15BA5"/>
    <w:rsid w:val="00B161CD"/>
    <w:rsid w:val="00B16B6C"/>
    <w:rsid w:val="00B1783D"/>
    <w:rsid w:val="00B20B7F"/>
    <w:rsid w:val="00B228AB"/>
    <w:rsid w:val="00B24137"/>
    <w:rsid w:val="00B27E83"/>
    <w:rsid w:val="00B317A1"/>
    <w:rsid w:val="00B32607"/>
    <w:rsid w:val="00B32D2A"/>
    <w:rsid w:val="00B33DE3"/>
    <w:rsid w:val="00B357D9"/>
    <w:rsid w:val="00B35EFE"/>
    <w:rsid w:val="00B3657C"/>
    <w:rsid w:val="00B36E4C"/>
    <w:rsid w:val="00B36E5B"/>
    <w:rsid w:val="00B37231"/>
    <w:rsid w:val="00B37E41"/>
    <w:rsid w:val="00B40C0F"/>
    <w:rsid w:val="00B42365"/>
    <w:rsid w:val="00B43314"/>
    <w:rsid w:val="00B441BE"/>
    <w:rsid w:val="00B44387"/>
    <w:rsid w:val="00B468C5"/>
    <w:rsid w:val="00B47EF7"/>
    <w:rsid w:val="00B509E8"/>
    <w:rsid w:val="00B50F72"/>
    <w:rsid w:val="00B51717"/>
    <w:rsid w:val="00B519B2"/>
    <w:rsid w:val="00B54879"/>
    <w:rsid w:val="00B55456"/>
    <w:rsid w:val="00B556DC"/>
    <w:rsid w:val="00B564D2"/>
    <w:rsid w:val="00B5695B"/>
    <w:rsid w:val="00B57E3C"/>
    <w:rsid w:val="00B603B8"/>
    <w:rsid w:val="00B60ED6"/>
    <w:rsid w:val="00B62288"/>
    <w:rsid w:val="00B622A6"/>
    <w:rsid w:val="00B62E61"/>
    <w:rsid w:val="00B630FB"/>
    <w:rsid w:val="00B633E4"/>
    <w:rsid w:val="00B63853"/>
    <w:rsid w:val="00B6603E"/>
    <w:rsid w:val="00B661AC"/>
    <w:rsid w:val="00B67209"/>
    <w:rsid w:val="00B70D00"/>
    <w:rsid w:val="00B71FBA"/>
    <w:rsid w:val="00B73DF4"/>
    <w:rsid w:val="00B75AD6"/>
    <w:rsid w:val="00B7630A"/>
    <w:rsid w:val="00B7653C"/>
    <w:rsid w:val="00B80357"/>
    <w:rsid w:val="00B8168D"/>
    <w:rsid w:val="00B829F5"/>
    <w:rsid w:val="00B82B81"/>
    <w:rsid w:val="00B84745"/>
    <w:rsid w:val="00B84958"/>
    <w:rsid w:val="00B85298"/>
    <w:rsid w:val="00B852E5"/>
    <w:rsid w:val="00B85496"/>
    <w:rsid w:val="00B85C69"/>
    <w:rsid w:val="00B85DC5"/>
    <w:rsid w:val="00B864FA"/>
    <w:rsid w:val="00B86950"/>
    <w:rsid w:val="00B93627"/>
    <w:rsid w:val="00B93DB8"/>
    <w:rsid w:val="00B9457F"/>
    <w:rsid w:val="00B956F2"/>
    <w:rsid w:val="00B97ACC"/>
    <w:rsid w:val="00BA0D15"/>
    <w:rsid w:val="00BA1512"/>
    <w:rsid w:val="00BA29F3"/>
    <w:rsid w:val="00BA3577"/>
    <w:rsid w:val="00BA43C3"/>
    <w:rsid w:val="00BA49BF"/>
    <w:rsid w:val="00BA5755"/>
    <w:rsid w:val="00BA6844"/>
    <w:rsid w:val="00BA6968"/>
    <w:rsid w:val="00BB0B98"/>
    <w:rsid w:val="00BB0E58"/>
    <w:rsid w:val="00BB2C0A"/>
    <w:rsid w:val="00BB34DC"/>
    <w:rsid w:val="00BB356F"/>
    <w:rsid w:val="00BB7803"/>
    <w:rsid w:val="00BB7F4F"/>
    <w:rsid w:val="00BC00B6"/>
    <w:rsid w:val="00BC0181"/>
    <w:rsid w:val="00BC218C"/>
    <w:rsid w:val="00BC3672"/>
    <w:rsid w:val="00BC5598"/>
    <w:rsid w:val="00BC566A"/>
    <w:rsid w:val="00BC6C98"/>
    <w:rsid w:val="00BC7D6C"/>
    <w:rsid w:val="00BC7EB4"/>
    <w:rsid w:val="00BD059F"/>
    <w:rsid w:val="00BD0952"/>
    <w:rsid w:val="00BD178D"/>
    <w:rsid w:val="00BD1D3C"/>
    <w:rsid w:val="00BD1FAE"/>
    <w:rsid w:val="00BD310B"/>
    <w:rsid w:val="00BD3D9B"/>
    <w:rsid w:val="00BD4489"/>
    <w:rsid w:val="00BD52A7"/>
    <w:rsid w:val="00BD58E7"/>
    <w:rsid w:val="00BD5BFF"/>
    <w:rsid w:val="00BD5F50"/>
    <w:rsid w:val="00BD6545"/>
    <w:rsid w:val="00BD7725"/>
    <w:rsid w:val="00BD773B"/>
    <w:rsid w:val="00BD77CA"/>
    <w:rsid w:val="00BD7897"/>
    <w:rsid w:val="00BE0E9D"/>
    <w:rsid w:val="00BE1A64"/>
    <w:rsid w:val="00BE1C45"/>
    <w:rsid w:val="00BE2C3C"/>
    <w:rsid w:val="00BE425C"/>
    <w:rsid w:val="00BE4CE8"/>
    <w:rsid w:val="00BE58CD"/>
    <w:rsid w:val="00BE5AA4"/>
    <w:rsid w:val="00BE5F36"/>
    <w:rsid w:val="00BE6FB3"/>
    <w:rsid w:val="00BE7390"/>
    <w:rsid w:val="00BF0CDB"/>
    <w:rsid w:val="00BF2D41"/>
    <w:rsid w:val="00BF3634"/>
    <w:rsid w:val="00BF3CA8"/>
    <w:rsid w:val="00BF6360"/>
    <w:rsid w:val="00BF771E"/>
    <w:rsid w:val="00BF7F74"/>
    <w:rsid w:val="00C0029B"/>
    <w:rsid w:val="00C00E4B"/>
    <w:rsid w:val="00C01E26"/>
    <w:rsid w:val="00C0280D"/>
    <w:rsid w:val="00C030D1"/>
    <w:rsid w:val="00C04231"/>
    <w:rsid w:val="00C05C96"/>
    <w:rsid w:val="00C06661"/>
    <w:rsid w:val="00C07912"/>
    <w:rsid w:val="00C07996"/>
    <w:rsid w:val="00C109D1"/>
    <w:rsid w:val="00C1170F"/>
    <w:rsid w:val="00C1262A"/>
    <w:rsid w:val="00C128AE"/>
    <w:rsid w:val="00C13415"/>
    <w:rsid w:val="00C134EA"/>
    <w:rsid w:val="00C15792"/>
    <w:rsid w:val="00C158BA"/>
    <w:rsid w:val="00C160C5"/>
    <w:rsid w:val="00C16245"/>
    <w:rsid w:val="00C1627C"/>
    <w:rsid w:val="00C17F02"/>
    <w:rsid w:val="00C20739"/>
    <w:rsid w:val="00C20CB5"/>
    <w:rsid w:val="00C21808"/>
    <w:rsid w:val="00C232DA"/>
    <w:rsid w:val="00C23986"/>
    <w:rsid w:val="00C23C02"/>
    <w:rsid w:val="00C23DE2"/>
    <w:rsid w:val="00C24379"/>
    <w:rsid w:val="00C25153"/>
    <w:rsid w:val="00C26D36"/>
    <w:rsid w:val="00C27567"/>
    <w:rsid w:val="00C308D3"/>
    <w:rsid w:val="00C3098F"/>
    <w:rsid w:val="00C316D5"/>
    <w:rsid w:val="00C3175F"/>
    <w:rsid w:val="00C31792"/>
    <w:rsid w:val="00C328F4"/>
    <w:rsid w:val="00C330FA"/>
    <w:rsid w:val="00C331B6"/>
    <w:rsid w:val="00C33492"/>
    <w:rsid w:val="00C3365B"/>
    <w:rsid w:val="00C34BE1"/>
    <w:rsid w:val="00C35EE0"/>
    <w:rsid w:val="00C378D2"/>
    <w:rsid w:val="00C402B6"/>
    <w:rsid w:val="00C41B36"/>
    <w:rsid w:val="00C42C2D"/>
    <w:rsid w:val="00C43996"/>
    <w:rsid w:val="00C45F09"/>
    <w:rsid w:val="00C46DA6"/>
    <w:rsid w:val="00C47B75"/>
    <w:rsid w:val="00C51E08"/>
    <w:rsid w:val="00C52B93"/>
    <w:rsid w:val="00C54FF4"/>
    <w:rsid w:val="00C55013"/>
    <w:rsid w:val="00C56B47"/>
    <w:rsid w:val="00C5734D"/>
    <w:rsid w:val="00C57413"/>
    <w:rsid w:val="00C60152"/>
    <w:rsid w:val="00C60391"/>
    <w:rsid w:val="00C61A35"/>
    <w:rsid w:val="00C6213A"/>
    <w:rsid w:val="00C62D39"/>
    <w:rsid w:val="00C644C2"/>
    <w:rsid w:val="00C647B6"/>
    <w:rsid w:val="00C649DA"/>
    <w:rsid w:val="00C64B4C"/>
    <w:rsid w:val="00C6546A"/>
    <w:rsid w:val="00C70CF3"/>
    <w:rsid w:val="00C721A0"/>
    <w:rsid w:val="00C75762"/>
    <w:rsid w:val="00C75857"/>
    <w:rsid w:val="00C76314"/>
    <w:rsid w:val="00C76DE9"/>
    <w:rsid w:val="00C77508"/>
    <w:rsid w:val="00C80829"/>
    <w:rsid w:val="00C81E28"/>
    <w:rsid w:val="00C82E8C"/>
    <w:rsid w:val="00C87492"/>
    <w:rsid w:val="00C87B7A"/>
    <w:rsid w:val="00C952AB"/>
    <w:rsid w:val="00C9581E"/>
    <w:rsid w:val="00C96961"/>
    <w:rsid w:val="00C96EFA"/>
    <w:rsid w:val="00C97C30"/>
    <w:rsid w:val="00CA108E"/>
    <w:rsid w:val="00CA1C53"/>
    <w:rsid w:val="00CA2477"/>
    <w:rsid w:val="00CA29EB"/>
    <w:rsid w:val="00CA5712"/>
    <w:rsid w:val="00CA6B58"/>
    <w:rsid w:val="00CB2475"/>
    <w:rsid w:val="00CB26CD"/>
    <w:rsid w:val="00CB2E8D"/>
    <w:rsid w:val="00CB341C"/>
    <w:rsid w:val="00CB4506"/>
    <w:rsid w:val="00CB52D4"/>
    <w:rsid w:val="00CB60F0"/>
    <w:rsid w:val="00CB7314"/>
    <w:rsid w:val="00CC2094"/>
    <w:rsid w:val="00CC2581"/>
    <w:rsid w:val="00CC25D8"/>
    <w:rsid w:val="00CC4960"/>
    <w:rsid w:val="00CC4DD9"/>
    <w:rsid w:val="00CC6117"/>
    <w:rsid w:val="00CC7052"/>
    <w:rsid w:val="00CC707F"/>
    <w:rsid w:val="00CD125A"/>
    <w:rsid w:val="00CD2472"/>
    <w:rsid w:val="00CD2C2C"/>
    <w:rsid w:val="00CD3FC2"/>
    <w:rsid w:val="00CD42DE"/>
    <w:rsid w:val="00CD4E30"/>
    <w:rsid w:val="00CD509C"/>
    <w:rsid w:val="00CD5BD0"/>
    <w:rsid w:val="00CD79DD"/>
    <w:rsid w:val="00CE12A8"/>
    <w:rsid w:val="00CE19FE"/>
    <w:rsid w:val="00CE3256"/>
    <w:rsid w:val="00CE47D5"/>
    <w:rsid w:val="00CE4969"/>
    <w:rsid w:val="00CE68C0"/>
    <w:rsid w:val="00CE6E50"/>
    <w:rsid w:val="00CF1305"/>
    <w:rsid w:val="00CF2BE9"/>
    <w:rsid w:val="00CF2D53"/>
    <w:rsid w:val="00CF4308"/>
    <w:rsid w:val="00CF4D88"/>
    <w:rsid w:val="00CF5ADF"/>
    <w:rsid w:val="00CF79D5"/>
    <w:rsid w:val="00D00C97"/>
    <w:rsid w:val="00D00FB4"/>
    <w:rsid w:val="00D0106A"/>
    <w:rsid w:val="00D0141F"/>
    <w:rsid w:val="00D015C6"/>
    <w:rsid w:val="00D02219"/>
    <w:rsid w:val="00D02AB7"/>
    <w:rsid w:val="00D049C3"/>
    <w:rsid w:val="00D05207"/>
    <w:rsid w:val="00D05EE5"/>
    <w:rsid w:val="00D072E2"/>
    <w:rsid w:val="00D07476"/>
    <w:rsid w:val="00D07CA9"/>
    <w:rsid w:val="00D105A8"/>
    <w:rsid w:val="00D10B99"/>
    <w:rsid w:val="00D10D78"/>
    <w:rsid w:val="00D110BF"/>
    <w:rsid w:val="00D13B20"/>
    <w:rsid w:val="00D15C8B"/>
    <w:rsid w:val="00D16484"/>
    <w:rsid w:val="00D17BC5"/>
    <w:rsid w:val="00D17FC4"/>
    <w:rsid w:val="00D20EF8"/>
    <w:rsid w:val="00D21164"/>
    <w:rsid w:val="00D21392"/>
    <w:rsid w:val="00D22921"/>
    <w:rsid w:val="00D23D62"/>
    <w:rsid w:val="00D266C8"/>
    <w:rsid w:val="00D27151"/>
    <w:rsid w:val="00D27296"/>
    <w:rsid w:val="00D272E0"/>
    <w:rsid w:val="00D30268"/>
    <w:rsid w:val="00D3040E"/>
    <w:rsid w:val="00D3045E"/>
    <w:rsid w:val="00D304C8"/>
    <w:rsid w:val="00D311C0"/>
    <w:rsid w:val="00D31CC3"/>
    <w:rsid w:val="00D32830"/>
    <w:rsid w:val="00D33684"/>
    <w:rsid w:val="00D342EB"/>
    <w:rsid w:val="00D345AC"/>
    <w:rsid w:val="00D3486C"/>
    <w:rsid w:val="00D34E6B"/>
    <w:rsid w:val="00D36CE3"/>
    <w:rsid w:val="00D36DAB"/>
    <w:rsid w:val="00D37F88"/>
    <w:rsid w:val="00D4028F"/>
    <w:rsid w:val="00D4114E"/>
    <w:rsid w:val="00D41312"/>
    <w:rsid w:val="00D41C77"/>
    <w:rsid w:val="00D41DE1"/>
    <w:rsid w:val="00D42491"/>
    <w:rsid w:val="00D437C7"/>
    <w:rsid w:val="00D43E7D"/>
    <w:rsid w:val="00D44F6E"/>
    <w:rsid w:val="00D44FDB"/>
    <w:rsid w:val="00D45F7A"/>
    <w:rsid w:val="00D47D35"/>
    <w:rsid w:val="00D509B5"/>
    <w:rsid w:val="00D50EFB"/>
    <w:rsid w:val="00D51536"/>
    <w:rsid w:val="00D53E64"/>
    <w:rsid w:val="00D54565"/>
    <w:rsid w:val="00D54F51"/>
    <w:rsid w:val="00D557B1"/>
    <w:rsid w:val="00D557FA"/>
    <w:rsid w:val="00D55D5B"/>
    <w:rsid w:val="00D5692E"/>
    <w:rsid w:val="00D610E6"/>
    <w:rsid w:val="00D619A1"/>
    <w:rsid w:val="00D61E1A"/>
    <w:rsid w:val="00D624CD"/>
    <w:rsid w:val="00D62FB7"/>
    <w:rsid w:val="00D635E1"/>
    <w:rsid w:val="00D636CD"/>
    <w:rsid w:val="00D649C7"/>
    <w:rsid w:val="00D675F9"/>
    <w:rsid w:val="00D67697"/>
    <w:rsid w:val="00D7031A"/>
    <w:rsid w:val="00D705C4"/>
    <w:rsid w:val="00D707D2"/>
    <w:rsid w:val="00D70B4E"/>
    <w:rsid w:val="00D722C6"/>
    <w:rsid w:val="00D732CD"/>
    <w:rsid w:val="00D8023B"/>
    <w:rsid w:val="00D8034D"/>
    <w:rsid w:val="00D80BD2"/>
    <w:rsid w:val="00D815AD"/>
    <w:rsid w:val="00D83292"/>
    <w:rsid w:val="00D836B1"/>
    <w:rsid w:val="00D837FE"/>
    <w:rsid w:val="00D839C8"/>
    <w:rsid w:val="00D84B87"/>
    <w:rsid w:val="00D84BA9"/>
    <w:rsid w:val="00D84DEF"/>
    <w:rsid w:val="00D85DC2"/>
    <w:rsid w:val="00D86772"/>
    <w:rsid w:val="00D87A3E"/>
    <w:rsid w:val="00D90A49"/>
    <w:rsid w:val="00D922BF"/>
    <w:rsid w:val="00D92B35"/>
    <w:rsid w:val="00D92C83"/>
    <w:rsid w:val="00D93144"/>
    <w:rsid w:val="00D93A20"/>
    <w:rsid w:val="00D957AB"/>
    <w:rsid w:val="00D96413"/>
    <w:rsid w:val="00D969E3"/>
    <w:rsid w:val="00D96FF6"/>
    <w:rsid w:val="00D9732B"/>
    <w:rsid w:val="00D976BC"/>
    <w:rsid w:val="00D9780C"/>
    <w:rsid w:val="00DA0455"/>
    <w:rsid w:val="00DA046F"/>
    <w:rsid w:val="00DA0C8D"/>
    <w:rsid w:val="00DA1E7C"/>
    <w:rsid w:val="00DA25DF"/>
    <w:rsid w:val="00DA2870"/>
    <w:rsid w:val="00DA29A3"/>
    <w:rsid w:val="00DA3F4A"/>
    <w:rsid w:val="00DA56F8"/>
    <w:rsid w:val="00DA6344"/>
    <w:rsid w:val="00DA7082"/>
    <w:rsid w:val="00DA711B"/>
    <w:rsid w:val="00DA7F0F"/>
    <w:rsid w:val="00DB0EB7"/>
    <w:rsid w:val="00DB1831"/>
    <w:rsid w:val="00DB1BFD"/>
    <w:rsid w:val="00DB2317"/>
    <w:rsid w:val="00DB4CA0"/>
    <w:rsid w:val="00DB4CC4"/>
    <w:rsid w:val="00DB593C"/>
    <w:rsid w:val="00DB5DA3"/>
    <w:rsid w:val="00DB6A87"/>
    <w:rsid w:val="00DB6F20"/>
    <w:rsid w:val="00DC05E3"/>
    <w:rsid w:val="00DC0E7F"/>
    <w:rsid w:val="00DC1147"/>
    <w:rsid w:val="00DC20B0"/>
    <w:rsid w:val="00DC2B8E"/>
    <w:rsid w:val="00DC2CAC"/>
    <w:rsid w:val="00DC2E2B"/>
    <w:rsid w:val="00DC3501"/>
    <w:rsid w:val="00DC3F6C"/>
    <w:rsid w:val="00DC499A"/>
    <w:rsid w:val="00DC72AE"/>
    <w:rsid w:val="00DC7D82"/>
    <w:rsid w:val="00DC7FA0"/>
    <w:rsid w:val="00DD0F45"/>
    <w:rsid w:val="00DD1DE2"/>
    <w:rsid w:val="00DD1E14"/>
    <w:rsid w:val="00DD2D96"/>
    <w:rsid w:val="00DD3194"/>
    <w:rsid w:val="00DD329D"/>
    <w:rsid w:val="00DD454A"/>
    <w:rsid w:val="00DD6DD3"/>
    <w:rsid w:val="00DD71AA"/>
    <w:rsid w:val="00DD73EF"/>
    <w:rsid w:val="00DD78DE"/>
    <w:rsid w:val="00DD79BB"/>
    <w:rsid w:val="00DD7ABF"/>
    <w:rsid w:val="00DD7B09"/>
    <w:rsid w:val="00DE0883"/>
    <w:rsid w:val="00DE0B96"/>
    <w:rsid w:val="00DE12DE"/>
    <w:rsid w:val="00DE13DA"/>
    <w:rsid w:val="00DE2213"/>
    <w:rsid w:val="00DE22B4"/>
    <w:rsid w:val="00DE2711"/>
    <w:rsid w:val="00DE6259"/>
    <w:rsid w:val="00DE75D6"/>
    <w:rsid w:val="00DE798E"/>
    <w:rsid w:val="00DF01AE"/>
    <w:rsid w:val="00DF029E"/>
    <w:rsid w:val="00DF0D75"/>
    <w:rsid w:val="00DF1174"/>
    <w:rsid w:val="00DF1350"/>
    <w:rsid w:val="00DF3A35"/>
    <w:rsid w:val="00DF4710"/>
    <w:rsid w:val="00DF5A85"/>
    <w:rsid w:val="00DF5B5F"/>
    <w:rsid w:val="00E00016"/>
    <w:rsid w:val="00E00728"/>
    <w:rsid w:val="00E00739"/>
    <w:rsid w:val="00E02033"/>
    <w:rsid w:val="00E02753"/>
    <w:rsid w:val="00E0329D"/>
    <w:rsid w:val="00E03B2A"/>
    <w:rsid w:val="00E06223"/>
    <w:rsid w:val="00E06413"/>
    <w:rsid w:val="00E102E7"/>
    <w:rsid w:val="00E1040F"/>
    <w:rsid w:val="00E117E7"/>
    <w:rsid w:val="00E131DF"/>
    <w:rsid w:val="00E13250"/>
    <w:rsid w:val="00E138BC"/>
    <w:rsid w:val="00E13CF9"/>
    <w:rsid w:val="00E15A80"/>
    <w:rsid w:val="00E15E3D"/>
    <w:rsid w:val="00E216A3"/>
    <w:rsid w:val="00E2307B"/>
    <w:rsid w:val="00E23BA5"/>
    <w:rsid w:val="00E26C1D"/>
    <w:rsid w:val="00E27F92"/>
    <w:rsid w:val="00E32405"/>
    <w:rsid w:val="00E331DF"/>
    <w:rsid w:val="00E3349A"/>
    <w:rsid w:val="00E34B99"/>
    <w:rsid w:val="00E34EB0"/>
    <w:rsid w:val="00E35024"/>
    <w:rsid w:val="00E364AA"/>
    <w:rsid w:val="00E40F26"/>
    <w:rsid w:val="00E43AB5"/>
    <w:rsid w:val="00E43F7A"/>
    <w:rsid w:val="00E44719"/>
    <w:rsid w:val="00E44A63"/>
    <w:rsid w:val="00E44FD5"/>
    <w:rsid w:val="00E45508"/>
    <w:rsid w:val="00E47789"/>
    <w:rsid w:val="00E47DA5"/>
    <w:rsid w:val="00E51AFC"/>
    <w:rsid w:val="00E5266C"/>
    <w:rsid w:val="00E53D96"/>
    <w:rsid w:val="00E5407E"/>
    <w:rsid w:val="00E5420C"/>
    <w:rsid w:val="00E54B9E"/>
    <w:rsid w:val="00E558E4"/>
    <w:rsid w:val="00E558F2"/>
    <w:rsid w:val="00E55A64"/>
    <w:rsid w:val="00E572AF"/>
    <w:rsid w:val="00E60040"/>
    <w:rsid w:val="00E6115A"/>
    <w:rsid w:val="00E61287"/>
    <w:rsid w:val="00E61CE5"/>
    <w:rsid w:val="00E62EA1"/>
    <w:rsid w:val="00E634D1"/>
    <w:rsid w:val="00E6358E"/>
    <w:rsid w:val="00E63722"/>
    <w:rsid w:val="00E65010"/>
    <w:rsid w:val="00E671CF"/>
    <w:rsid w:val="00E706CF"/>
    <w:rsid w:val="00E7192A"/>
    <w:rsid w:val="00E71ABF"/>
    <w:rsid w:val="00E71C0C"/>
    <w:rsid w:val="00E7242F"/>
    <w:rsid w:val="00E72A5F"/>
    <w:rsid w:val="00E73D4D"/>
    <w:rsid w:val="00E74729"/>
    <w:rsid w:val="00E74D0A"/>
    <w:rsid w:val="00E74E36"/>
    <w:rsid w:val="00E74EE6"/>
    <w:rsid w:val="00E804A6"/>
    <w:rsid w:val="00E8261D"/>
    <w:rsid w:val="00E853CC"/>
    <w:rsid w:val="00E854E9"/>
    <w:rsid w:val="00E86297"/>
    <w:rsid w:val="00E9029F"/>
    <w:rsid w:val="00E906DD"/>
    <w:rsid w:val="00E90927"/>
    <w:rsid w:val="00E91149"/>
    <w:rsid w:val="00E95977"/>
    <w:rsid w:val="00E97160"/>
    <w:rsid w:val="00E97616"/>
    <w:rsid w:val="00E9766B"/>
    <w:rsid w:val="00EA0B5E"/>
    <w:rsid w:val="00EA371C"/>
    <w:rsid w:val="00EA4210"/>
    <w:rsid w:val="00EA6753"/>
    <w:rsid w:val="00EA7423"/>
    <w:rsid w:val="00EA7DE9"/>
    <w:rsid w:val="00EB06B0"/>
    <w:rsid w:val="00EB18D1"/>
    <w:rsid w:val="00EB2077"/>
    <w:rsid w:val="00EB21FE"/>
    <w:rsid w:val="00EB301F"/>
    <w:rsid w:val="00EB3A0E"/>
    <w:rsid w:val="00EB3CEF"/>
    <w:rsid w:val="00EB4708"/>
    <w:rsid w:val="00EB481D"/>
    <w:rsid w:val="00EB4C49"/>
    <w:rsid w:val="00EB4E94"/>
    <w:rsid w:val="00EB6081"/>
    <w:rsid w:val="00EB6C9C"/>
    <w:rsid w:val="00EB6D08"/>
    <w:rsid w:val="00EB7FA1"/>
    <w:rsid w:val="00EC006F"/>
    <w:rsid w:val="00EC011E"/>
    <w:rsid w:val="00EC1262"/>
    <w:rsid w:val="00EC1ED6"/>
    <w:rsid w:val="00EC2326"/>
    <w:rsid w:val="00EC30D5"/>
    <w:rsid w:val="00EC3887"/>
    <w:rsid w:val="00EC4256"/>
    <w:rsid w:val="00EC4482"/>
    <w:rsid w:val="00EC49BE"/>
    <w:rsid w:val="00EC4EE8"/>
    <w:rsid w:val="00EC573D"/>
    <w:rsid w:val="00EC57A5"/>
    <w:rsid w:val="00EC6AF5"/>
    <w:rsid w:val="00ED06F0"/>
    <w:rsid w:val="00ED1FD1"/>
    <w:rsid w:val="00ED24AA"/>
    <w:rsid w:val="00ED42B0"/>
    <w:rsid w:val="00ED450B"/>
    <w:rsid w:val="00ED4B6E"/>
    <w:rsid w:val="00ED6A86"/>
    <w:rsid w:val="00ED7E69"/>
    <w:rsid w:val="00EE0188"/>
    <w:rsid w:val="00EE20D2"/>
    <w:rsid w:val="00EE26AA"/>
    <w:rsid w:val="00EE45F5"/>
    <w:rsid w:val="00EE4691"/>
    <w:rsid w:val="00EE4AB3"/>
    <w:rsid w:val="00EE589B"/>
    <w:rsid w:val="00EE6DEE"/>
    <w:rsid w:val="00EE7701"/>
    <w:rsid w:val="00EE77D3"/>
    <w:rsid w:val="00EF0045"/>
    <w:rsid w:val="00EF0BE7"/>
    <w:rsid w:val="00EF134A"/>
    <w:rsid w:val="00EF1550"/>
    <w:rsid w:val="00EF3966"/>
    <w:rsid w:val="00EF4966"/>
    <w:rsid w:val="00EF4CCA"/>
    <w:rsid w:val="00EF6E88"/>
    <w:rsid w:val="00F014D4"/>
    <w:rsid w:val="00F02C83"/>
    <w:rsid w:val="00F02D59"/>
    <w:rsid w:val="00F032E7"/>
    <w:rsid w:val="00F0336C"/>
    <w:rsid w:val="00F03708"/>
    <w:rsid w:val="00F06440"/>
    <w:rsid w:val="00F07DD8"/>
    <w:rsid w:val="00F11855"/>
    <w:rsid w:val="00F11F65"/>
    <w:rsid w:val="00F155EB"/>
    <w:rsid w:val="00F15FED"/>
    <w:rsid w:val="00F1681D"/>
    <w:rsid w:val="00F16D91"/>
    <w:rsid w:val="00F23CDC"/>
    <w:rsid w:val="00F251AA"/>
    <w:rsid w:val="00F252B9"/>
    <w:rsid w:val="00F27BA1"/>
    <w:rsid w:val="00F27FB5"/>
    <w:rsid w:val="00F31DEB"/>
    <w:rsid w:val="00F323C9"/>
    <w:rsid w:val="00F32BF4"/>
    <w:rsid w:val="00F34933"/>
    <w:rsid w:val="00F354B3"/>
    <w:rsid w:val="00F360DF"/>
    <w:rsid w:val="00F40227"/>
    <w:rsid w:val="00F40638"/>
    <w:rsid w:val="00F40A9C"/>
    <w:rsid w:val="00F41790"/>
    <w:rsid w:val="00F41FAB"/>
    <w:rsid w:val="00F42868"/>
    <w:rsid w:val="00F43EFB"/>
    <w:rsid w:val="00F44A8F"/>
    <w:rsid w:val="00F4572F"/>
    <w:rsid w:val="00F45767"/>
    <w:rsid w:val="00F45865"/>
    <w:rsid w:val="00F46038"/>
    <w:rsid w:val="00F4667C"/>
    <w:rsid w:val="00F46A9D"/>
    <w:rsid w:val="00F47D34"/>
    <w:rsid w:val="00F502BF"/>
    <w:rsid w:val="00F50366"/>
    <w:rsid w:val="00F5040D"/>
    <w:rsid w:val="00F5052C"/>
    <w:rsid w:val="00F50F8B"/>
    <w:rsid w:val="00F525DF"/>
    <w:rsid w:val="00F52C52"/>
    <w:rsid w:val="00F53F84"/>
    <w:rsid w:val="00F53FFA"/>
    <w:rsid w:val="00F5472A"/>
    <w:rsid w:val="00F54AF8"/>
    <w:rsid w:val="00F56B3A"/>
    <w:rsid w:val="00F60B2D"/>
    <w:rsid w:val="00F63C20"/>
    <w:rsid w:val="00F63DF5"/>
    <w:rsid w:val="00F64524"/>
    <w:rsid w:val="00F64FD2"/>
    <w:rsid w:val="00F655CC"/>
    <w:rsid w:val="00F65892"/>
    <w:rsid w:val="00F66DA1"/>
    <w:rsid w:val="00F67360"/>
    <w:rsid w:val="00F6798C"/>
    <w:rsid w:val="00F705D1"/>
    <w:rsid w:val="00F7295D"/>
    <w:rsid w:val="00F72B56"/>
    <w:rsid w:val="00F72BBB"/>
    <w:rsid w:val="00F72D93"/>
    <w:rsid w:val="00F73669"/>
    <w:rsid w:val="00F73689"/>
    <w:rsid w:val="00F75600"/>
    <w:rsid w:val="00F756EB"/>
    <w:rsid w:val="00F7655B"/>
    <w:rsid w:val="00F803A3"/>
    <w:rsid w:val="00F80AF7"/>
    <w:rsid w:val="00F80B81"/>
    <w:rsid w:val="00F80C98"/>
    <w:rsid w:val="00F80E38"/>
    <w:rsid w:val="00F8123F"/>
    <w:rsid w:val="00F812A6"/>
    <w:rsid w:val="00F82FC6"/>
    <w:rsid w:val="00F83890"/>
    <w:rsid w:val="00F83BF2"/>
    <w:rsid w:val="00F84851"/>
    <w:rsid w:val="00F85EEC"/>
    <w:rsid w:val="00F87156"/>
    <w:rsid w:val="00F8745E"/>
    <w:rsid w:val="00F91664"/>
    <w:rsid w:val="00F91DF2"/>
    <w:rsid w:val="00F92627"/>
    <w:rsid w:val="00F92F83"/>
    <w:rsid w:val="00F94285"/>
    <w:rsid w:val="00F94E4D"/>
    <w:rsid w:val="00F955B8"/>
    <w:rsid w:val="00F957DE"/>
    <w:rsid w:val="00F958A2"/>
    <w:rsid w:val="00F95903"/>
    <w:rsid w:val="00F962F2"/>
    <w:rsid w:val="00FA05F5"/>
    <w:rsid w:val="00FA0A15"/>
    <w:rsid w:val="00FA0AB8"/>
    <w:rsid w:val="00FA0AF4"/>
    <w:rsid w:val="00FA1219"/>
    <w:rsid w:val="00FA14E5"/>
    <w:rsid w:val="00FA31F1"/>
    <w:rsid w:val="00FA37A1"/>
    <w:rsid w:val="00FA3F60"/>
    <w:rsid w:val="00FA4660"/>
    <w:rsid w:val="00FA4A6D"/>
    <w:rsid w:val="00FA4FF1"/>
    <w:rsid w:val="00FA5870"/>
    <w:rsid w:val="00FA5915"/>
    <w:rsid w:val="00FA7092"/>
    <w:rsid w:val="00FA744A"/>
    <w:rsid w:val="00FB0F8D"/>
    <w:rsid w:val="00FB19E7"/>
    <w:rsid w:val="00FB400C"/>
    <w:rsid w:val="00FB5286"/>
    <w:rsid w:val="00FB534E"/>
    <w:rsid w:val="00FB5F47"/>
    <w:rsid w:val="00FB60F7"/>
    <w:rsid w:val="00FC0529"/>
    <w:rsid w:val="00FC27DC"/>
    <w:rsid w:val="00FC2CEE"/>
    <w:rsid w:val="00FC2E90"/>
    <w:rsid w:val="00FC3871"/>
    <w:rsid w:val="00FC4734"/>
    <w:rsid w:val="00FC4B69"/>
    <w:rsid w:val="00FC7013"/>
    <w:rsid w:val="00FC79B2"/>
    <w:rsid w:val="00FD1347"/>
    <w:rsid w:val="00FD1B9C"/>
    <w:rsid w:val="00FD29E0"/>
    <w:rsid w:val="00FD2E09"/>
    <w:rsid w:val="00FD2FAE"/>
    <w:rsid w:val="00FD34AB"/>
    <w:rsid w:val="00FD3545"/>
    <w:rsid w:val="00FD41AB"/>
    <w:rsid w:val="00FD707D"/>
    <w:rsid w:val="00FD744B"/>
    <w:rsid w:val="00FE07C1"/>
    <w:rsid w:val="00FE0F2A"/>
    <w:rsid w:val="00FE16E3"/>
    <w:rsid w:val="00FE4578"/>
    <w:rsid w:val="00FE559F"/>
    <w:rsid w:val="00FE5616"/>
    <w:rsid w:val="00FE77A0"/>
    <w:rsid w:val="00FE7D52"/>
    <w:rsid w:val="00FF0946"/>
    <w:rsid w:val="00FF27AF"/>
    <w:rsid w:val="00FF2AF4"/>
    <w:rsid w:val="00FF2E83"/>
    <w:rsid w:val="00FF32E2"/>
    <w:rsid w:val="00FF3424"/>
    <w:rsid w:val="00FF42C4"/>
    <w:rsid w:val="00FF5666"/>
    <w:rsid w:val="00FF65F7"/>
    <w:rsid w:val="0112014C"/>
    <w:rsid w:val="01634A87"/>
    <w:rsid w:val="01EE0B37"/>
    <w:rsid w:val="02134ECE"/>
    <w:rsid w:val="022475FE"/>
    <w:rsid w:val="029B12EA"/>
    <w:rsid w:val="02BB7EFC"/>
    <w:rsid w:val="02F93F34"/>
    <w:rsid w:val="03097B1E"/>
    <w:rsid w:val="03132DE9"/>
    <w:rsid w:val="038D663F"/>
    <w:rsid w:val="03DB1784"/>
    <w:rsid w:val="03EA3844"/>
    <w:rsid w:val="04240C97"/>
    <w:rsid w:val="043624FA"/>
    <w:rsid w:val="043C131B"/>
    <w:rsid w:val="047B7A12"/>
    <w:rsid w:val="049565C2"/>
    <w:rsid w:val="04A20278"/>
    <w:rsid w:val="04BF38B6"/>
    <w:rsid w:val="051752FE"/>
    <w:rsid w:val="053D38E7"/>
    <w:rsid w:val="055E0AF2"/>
    <w:rsid w:val="05D62C60"/>
    <w:rsid w:val="060E16DD"/>
    <w:rsid w:val="06187DB5"/>
    <w:rsid w:val="061C1F17"/>
    <w:rsid w:val="06F12F7F"/>
    <w:rsid w:val="070F6D45"/>
    <w:rsid w:val="07331174"/>
    <w:rsid w:val="073C4D21"/>
    <w:rsid w:val="076609FF"/>
    <w:rsid w:val="077141F6"/>
    <w:rsid w:val="07AC0240"/>
    <w:rsid w:val="08083B7C"/>
    <w:rsid w:val="081409B2"/>
    <w:rsid w:val="08502DB0"/>
    <w:rsid w:val="08612BE4"/>
    <w:rsid w:val="088F068A"/>
    <w:rsid w:val="08AD61E6"/>
    <w:rsid w:val="096E3588"/>
    <w:rsid w:val="0A0C2905"/>
    <w:rsid w:val="0A330A9D"/>
    <w:rsid w:val="0A550002"/>
    <w:rsid w:val="0A703C79"/>
    <w:rsid w:val="0A710D74"/>
    <w:rsid w:val="0A733CBC"/>
    <w:rsid w:val="0AA0137B"/>
    <w:rsid w:val="0B08074B"/>
    <w:rsid w:val="0B426F0F"/>
    <w:rsid w:val="0B5B53C3"/>
    <w:rsid w:val="0BA02F9A"/>
    <w:rsid w:val="0BC9631E"/>
    <w:rsid w:val="0C5E61A6"/>
    <w:rsid w:val="0CB8322E"/>
    <w:rsid w:val="0CED358E"/>
    <w:rsid w:val="0D932405"/>
    <w:rsid w:val="0DBB0313"/>
    <w:rsid w:val="0EF671CB"/>
    <w:rsid w:val="0F37403F"/>
    <w:rsid w:val="0F4A68EC"/>
    <w:rsid w:val="0F904A16"/>
    <w:rsid w:val="0FCF6489"/>
    <w:rsid w:val="10257907"/>
    <w:rsid w:val="104F5258"/>
    <w:rsid w:val="1065797F"/>
    <w:rsid w:val="10E77D46"/>
    <w:rsid w:val="10EF5C58"/>
    <w:rsid w:val="11056A02"/>
    <w:rsid w:val="111416D8"/>
    <w:rsid w:val="111951D8"/>
    <w:rsid w:val="11831B2D"/>
    <w:rsid w:val="1198559E"/>
    <w:rsid w:val="11B65D7F"/>
    <w:rsid w:val="11D54C50"/>
    <w:rsid w:val="1260083C"/>
    <w:rsid w:val="12887F77"/>
    <w:rsid w:val="12C66E65"/>
    <w:rsid w:val="12FE5974"/>
    <w:rsid w:val="135929B1"/>
    <w:rsid w:val="13A00E73"/>
    <w:rsid w:val="13D80761"/>
    <w:rsid w:val="13F02406"/>
    <w:rsid w:val="14895792"/>
    <w:rsid w:val="14970813"/>
    <w:rsid w:val="149A2E5A"/>
    <w:rsid w:val="149C7EB8"/>
    <w:rsid w:val="149D50CC"/>
    <w:rsid w:val="14E2080B"/>
    <w:rsid w:val="14E3073E"/>
    <w:rsid w:val="158264D6"/>
    <w:rsid w:val="15C541BE"/>
    <w:rsid w:val="15D30435"/>
    <w:rsid w:val="15E24476"/>
    <w:rsid w:val="16153E66"/>
    <w:rsid w:val="167564CA"/>
    <w:rsid w:val="16AA34E2"/>
    <w:rsid w:val="16B67CD2"/>
    <w:rsid w:val="171D0BAB"/>
    <w:rsid w:val="17B71CE5"/>
    <w:rsid w:val="17B9584B"/>
    <w:rsid w:val="17DD5D20"/>
    <w:rsid w:val="18502E55"/>
    <w:rsid w:val="18947263"/>
    <w:rsid w:val="1936399D"/>
    <w:rsid w:val="19461F80"/>
    <w:rsid w:val="19EC37C6"/>
    <w:rsid w:val="19EE2B9D"/>
    <w:rsid w:val="1A1B6022"/>
    <w:rsid w:val="1A3F78A2"/>
    <w:rsid w:val="1AD260FF"/>
    <w:rsid w:val="1AD974FC"/>
    <w:rsid w:val="1B515E62"/>
    <w:rsid w:val="1B674782"/>
    <w:rsid w:val="1B91747A"/>
    <w:rsid w:val="1B940270"/>
    <w:rsid w:val="1C2A6ED5"/>
    <w:rsid w:val="1C494B00"/>
    <w:rsid w:val="1C8629DB"/>
    <w:rsid w:val="1C9A167C"/>
    <w:rsid w:val="1CC8253E"/>
    <w:rsid w:val="1CF22FC9"/>
    <w:rsid w:val="1D564245"/>
    <w:rsid w:val="1D826F83"/>
    <w:rsid w:val="1DEC57A6"/>
    <w:rsid w:val="1E291395"/>
    <w:rsid w:val="1E4863ED"/>
    <w:rsid w:val="1E56304E"/>
    <w:rsid w:val="1E5E0934"/>
    <w:rsid w:val="1E695344"/>
    <w:rsid w:val="1E7B1B91"/>
    <w:rsid w:val="1EAE457B"/>
    <w:rsid w:val="1EAF32E5"/>
    <w:rsid w:val="1EF00E2F"/>
    <w:rsid w:val="1F6C30F5"/>
    <w:rsid w:val="1F6E513D"/>
    <w:rsid w:val="2006711A"/>
    <w:rsid w:val="200E5227"/>
    <w:rsid w:val="20215B4F"/>
    <w:rsid w:val="20496D39"/>
    <w:rsid w:val="2056239C"/>
    <w:rsid w:val="206304C7"/>
    <w:rsid w:val="206B319F"/>
    <w:rsid w:val="21425FB4"/>
    <w:rsid w:val="21C17754"/>
    <w:rsid w:val="22433A09"/>
    <w:rsid w:val="22B563C7"/>
    <w:rsid w:val="237615BF"/>
    <w:rsid w:val="239E7213"/>
    <w:rsid w:val="23CB5F9B"/>
    <w:rsid w:val="23F648C6"/>
    <w:rsid w:val="240D4A36"/>
    <w:rsid w:val="24124401"/>
    <w:rsid w:val="24602350"/>
    <w:rsid w:val="24BA39E7"/>
    <w:rsid w:val="24E06F8D"/>
    <w:rsid w:val="259A0029"/>
    <w:rsid w:val="25EF714A"/>
    <w:rsid w:val="260228CF"/>
    <w:rsid w:val="264B3622"/>
    <w:rsid w:val="268F79BD"/>
    <w:rsid w:val="26CE6856"/>
    <w:rsid w:val="270A0276"/>
    <w:rsid w:val="270C460D"/>
    <w:rsid w:val="27676693"/>
    <w:rsid w:val="27FA419F"/>
    <w:rsid w:val="2869796C"/>
    <w:rsid w:val="29084DDE"/>
    <w:rsid w:val="291D7125"/>
    <w:rsid w:val="29277043"/>
    <w:rsid w:val="298121E7"/>
    <w:rsid w:val="2A030C54"/>
    <w:rsid w:val="2A1F2E80"/>
    <w:rsid w:val="2A621B97"/>
    <w:rsid w:val="2A6818A2"/>
    <w:rsid w:val="2A760FF9"/>
    <w:rsid w:val="2A954D9F"/>
    <w:rsid w:val="2ACF254B"/>
    <w:rsid w:val="2B280F73"/>
    <w:rsid w:val="2B6C4927"/>
    <w:rsid w:val="2B7908D3"/>
    <w:rsid w:val="2B88197A"/>
    <w:rsid w:val="2BC11C32"/>
    <w:rsid w:val="2BCC3246"/>
    <w:rsid w:val="2BE277B9"/>
    <w:rsid w:val="2BF25A1D"/>
    <w:rsid w:val="2C28077E"/>
    <w:rsid w:val="2CC3241E"/>
    <w:rsid w:val="2CDB269B"/>
    <w:rsid w:val="2CF464AF"/>
    <w:rsid w:val="2D07290D"/>
    <w:rsid w:val="2D6C048C"/>
    <w:rsid w:val="2D963C58"/>
    <w:rsid w:val="2DCC4132"/>
    <w:rsid w:val="2E1A3A43"/>
    <w:rsid w:val="2E614626"/>
    <w:rsid w:val="2E7D2D00"/>
    <w:rsid w:val="2EC2612C"/>
    <w:rsid w:val="2F46784C"/>
    <w:rsid w:val="2F5C2AA5"/>
    <w:rsid w:val="30A0494D"/>
    <w:rsid w:val="30AD7409"/>
    <w:rsid w:val="30C97F42"/>
    <w:rsid w:val="30E10C37"/>
    <w:rsid w:val="30FE7065"/>
    <w:rsid w:val="31A124F9"/>
    <w:rsid w:val="31D90658"/>
    <w:rsid w:val="322F3062"/>
    <w:rsid w:val="32507DC1"/>
    <w:rsid w:val="329259E7"/>
    <w:rsid w:val="33DC1E83"/>
    <w:rsid w:val="33ED79CA"/>
    <w:rsid w:val="34093BEC"/>
    <w:rsid w:val="34A614EC"/>
    <w:rsid w:val="35637DA6"/>
    <w:rsid w:val="357960A3"/>
    <w:rsid w:val="35BC4DC5"/>
    <w:rsid w:val="3616391B"/>
    <w:rsid w:val="368848CF"/>
    <w:rsid w:val="36914546"/>
    <w:rsid w:val="36E97DF5"/>
    <w:rsid w:val="37002407"/>
    <w:rsid w:val="370951EF"/>
    <w:rsid w:val="37227682"/>
    <w:rsid w:val="38410311"/>
    <w:rsid w:val="384A3C28"/>
    <w:rsid w:val="385819B9"/>
    <w:rsid w:val="38677D19"/>
    <w:rsid w:val="389333E6"/>
    <w:rsid w:val="38E54D64"/>
    <w:rsid w:val="38EB441F"/>
    <w:rsid w:val="390071A1"/>
    <w:rsid w:val="395D0179"/>
    <w:rsid w:val="398A1D37"/>
    <w:rsid w:val="3A2B2E7D"/>
    <w:rsid w:val="3A5A2471"/>
    <w:rsid w:val="3A872A53"/>
    <w:rsid w:val="3AF042EB"/>
    <w:rsid w:val="3B8E0546"/>
    <w:rsid w:val="3BB25584"/>
    <w:rsid w:val="3BC473F8"/>
    <w:rsid w:val="3BDE089F"/>
    <w:rsid w:val="3C15124C"/>
    <w:rsid w:val="3C633289"/>
    <w:rsid w:val="3CE0401E"/>
    <w:rsid w:val="3CF5550F"/>
    <w:rsid w:val="3D202B7F"/>
    <w:rsid w:val="3D42560E"/>
    <w:rsid w:val="3DE831E0"/>
    <w:rsid w:val="3E5502DC"/>
    <w:rsid w:val="3E802A97"/>
    <w:rsid w:val="3EB35CAD"/>
    <w:rsid w:val="3F583829"/>
    <w:rsid w:val="3FC26926"/>
    <w:rsid w:val="3FD633C9"/>
    <w:rsid w:val="404F65E9"/>
    <w:rsid w:val="40765523"/>
    <w:rsid w:val="40B2635D"/>
    <w:rsid w:val="40C84409"/>
    <w:rsid w:val="40CE1267"/>
    <w:rsid w:val="410D0E5E"/>
    <w:rsid w:val="412A6279"/>
    <w:rsid w:val="41300182"/>
    <w:rsid w:val="4143359F"/>
    <w:rsid w:val="41896292"/>
    <w:rsid w:val="41CE507A"/>
    <w:rsid w:val="41DA692E"/>
    <w:rsid w:val="41E20B51"/>
    <w:rsid w:val="41EE72BB"/>
    <w:rsid w:val="421604D4"/>
    <w:rsid w:val="42931B8D"/>
    <w:rsid w:val="429B15D2"/>
    <w:rsid w:val="42D33247"/>
    <w:rsid w:val="43223319"/>
    <w:rsid w:val="43AF4F93"/>
    <w:rsid w:val="44322CF9"/>
    <w:rsid w:val="445676AA"/>
    <w:rsid w:val="44C10428"/>
    <w:rsid w:val="44C8059F"/>
    <w:rsid w:val="44CA7669"/>
    <w:rsid w:val="44DD2576"/>
    <w:rsid w:val="44ED1DB2"/>
    <w:rsid w:val="45333815"/>
    <w:rsid w:val="45370064"/>
    <w:rsid w:val="455437E5"/>
    <w:rsid w:val="455B6418"/>
    <w:rsid w:val="45753B6F"/>
    <w:rsid w:val="45D41864"/>
    <w:rsid w:val="460E666E"/>
    <w:rsid w:val="463722FE"/>
    <w:rsid w:val="463D1EB7"/>
    <w:rsid w:val="46512358"/>
    <w:rsid w:val="46A47580"/>
    <w:rsid w:val="46C01D27"/>
    <w:rsid w:val="4710122B"/>
    <w:rsid w:val="47283CDE"/>
    <w:rsid w:val="475674A7"/>
    <w:rsid w:val="47616479"/>
    <w:rsid w:val="47671550"/>
    <w:rsid w:val="47DD3A2C"/>
    <w:rsid w:val="48407AAB"/>
    <w:rsid w:val="48417D80"/>
    <w:rsid w:val="48845378"/>
    <w:rsid w:val="48F4008F"/>
    <w:rsid w:val="49084551"/>
    <w:rsid w:val="499B31C8"/>
    <w:rsid w:val="49A30D13"/>
    <w:rsid w:val="49BC51E8"/>
    <w:rsid w:val="49D74833"/>
    <w:rsid w:val="4A65539B"/>
    <w:rsid w:val="4AB94E26"/>
    <w:rsid w:val="4BC56E20"/>
    <w:rsid w:val="4BE76708"/>
    <w:rsid w:val="4C0E21CB"/>
    <w:rsid w:val="4C1D2987"/>
    <w:rsid w:val="4C3108F8"/>
    <w:rsid w:val="4C450742"/>
    <w:rsid w:val="4CC754F9"/>
    <w:rsid w:val="4CF27B3F"/>
    <w:rsid w:val="4DA516ED"/>
    <w:rsid w:val="4DC0189A"/>
    <w:rsid w:val="4DF3377B"/>
    <w:rsid w:val="4E0A4298"/>
    <w:rsid w:val="4E434D28"/>
    <w:rsid w:val="4E9043E8"/>
    <w:rsid w:val="4EB85DCE"/>
    <w:rsid w:val="4EC825EE"/>
    <w:rsid w:val="4F216EB0"/>
    <w:rsid w:val="4F756219"/>
    <w:rsid w:val="503B1B50"/>
    <w:rsid w:val="50DA1CD7"/>
    <w:rsid w:val="5180ADE8"/>
    <w:rsid w:val="51EB3EF3"/>
    <w:rsid w:val="51F607A1"/>
    <w:rsid w:val="5204701C"/>
    <w:rsid w:val="528508CE"/>
    <w:rsid w:val="52C5775A"/>
    <w:rsid w:val="52D902F9"/>
    <w:rsid w:val="53774CFF"/>
    <w:rsid w:val="53A02515"/>
    <w:rsid w:val="54560F3F"/>
    <w:rsid w:val="547844ED"/>
    <w:rsid w:val="5496311D"/>
    <w:rsid w:val="54BD5801"/>
    <w:rsid w:val="54DF7FD4"/>
    <w:rsid w:val="54FB228A"/>
    <w:rsid w:val="550108A6"/>
    <w:rsid w:val="5508180B"/>
    <w:rsid w:val="554206CA"/>
    <w:rsid w:val="554B27F4"/>
    <w:rsid w:val="5555296C"/>
    <w:rsid w:val="556601A6"/>
    <w:rsid w:val="55BE1BCE"/>
    <w:rsid w:val="55CB0C23"/>
    <w:rsid w:val="55E747BE"/>
    <w:rsid w:val="563A061B"/>
    <w:rsid w:val="56503D00"/>
    <w:rsid w:val="56525B17"/>
    <w:rsid w:val="56607C45"/>
    <w:rsid w:val="576E6644"/>
    <w:rsid w:val="577B2C8A"/>
    <w:rsid w:val="57B47DFA"/>
    <w:rsid w:val="57CB2DD8"/>
    <w:rsid w:val="57DA0899"/>
    <w:rsid w:val="580235AD"/>
    <w:rsid w:val="588CE5E7"/>
    <w:rsid w:val="58A07CF7"/>
    <w:rsid w:val="58B66073"/>
    <w:rsid w:val="58BD03F9"/>
    <w:rsid w:val="58D445E5"/>
    <w:rsid w:val="59234899"/>
    <w:rsid w:val="594F4BD9"/>
    <w:rsid w:val="596A30C0"/>
    <w:rsid w:val="59D77CB5"/>
    <w:rsid w:val="59FC60E4"/>
    <w:rsid w:val="5A4C14B5"/>
    <w:rsid w:val="5A982FB2"/>
    <w:rsid w:val="5ABD0D14"/>
    <w:rsid w:val="5AEF2949"/>
    <w:rsid w:val="5B0453E0"/>
    <w:rsid w:val="5B0C091E"/>
    <w:rsid w:val="5B1B1CC7"/>
    <w:rsid w:val="5B4F17EB"/>
    <w:rsid w:val="5C075098"/>
    <w:rsid w:val="5C1A44AC"/>
    <w:rsid w:val="5C26135C"/>
    <w:rsid w:val="5C6940C8"/>
    <w:rsid w:val="5C7774C0"/>
    <w:rsid w:val="5C895837"/>
    <w:rsid w:val="5CBC4731"/>
    <w:rsid w:val="5D0B6A68"/>
    <w:rsid w:val="5D163BD6"/>
    <w:rsid w:val="5D8B66C2"/>
    <w:rsid w:val="5D975D03"/>
    <w:rsid w:val="5DC621E6"/>
    <w:rsid w:val="5DD61479"/>
    <w:rsid w:val="5DF10B7A"/>
    <w:rsid w:val="5DF60C34"/>
    <w:rsid w:val="5E132C2A"/>
    <w:rsid w:val="5F96318D"/>
    <w:rsid w:val="5FBF6023"/>
    <w:rsid w:val="5FD472E1"/>
    <w:rsid w:val="60321C44"/>
    <w:rsid w:val="60F56DCB"/>
    <w:rsid w:val="613B5864"/>
    <w:rsid w:val="61883090"/>
    <w:rsid w:val="61B96F31"/>
    <w:rsid w:val="61DB458D"/>
    <w:rsid w:val="61DF598E"/>
    <w:rsid w:val="62012C2A"/>
    <w:rsid w:val="626315D1"/>
    <w:rsid w:val="628B503D"/>
    <w:rsid w:val="62DA2A3D"/>
    <w:rsid w:val="62E60853"/>
    <w:rsid w:val="632905BE"/>
    <w:rsid w:val="635F31B6"/>
    <w:rsid w:val="63901267"/>
    <w:rsid w:val="63AA041B"/>
    <w:rsid w:val="63B931E0"/>
    <w:rsid w:val="63FB275D"/>
    <w:rsid w:val="63FC115B"/>
    <w:rsid w:val="64C96636"/>
    <w:rsid w:val="64FC699E"/>
    <w:rsid w:val="65685B2C"/>
    <w:rsid w:val="656B680A"/>
    <w:rsid w:val="65B10925"/>
    <w:rsid w:val="65F5496B"/>
    <w:rsid w:val="66040547"/>
    <w:rsid w:val="66052AF2"/>
    <w:rsid w:val="66791DF9"/>
    <w:rsid w:val="66EC09B3"/>
    <w:rsid w:val="67207164"/>
    <w:rsid w:val="67217E3E"/>
    <w:rsid w:val="67551D12"/>
    <w:rsid w:val="67760BCD"/>
    <w:rsid w:val="67D367BC"/>
    <w:rsid w:val="67E37C9F"/>
    <w:rsid w:val="68895EFC"/>
    <w:rsid w:val="68955552"/>
    <w:rsid w:val="68E43465"/>
    <w:rsid w:val="69134140"/>
    <w:rsid w:val="69800CD9"/>
    <w:rsid w:val="69D01CA0"/>
    <w:rsid w:val="6A3F35DF"/>
    <w:rsid w:val="6A4223AC"/>
    <w:rsid w:val="6A605AB5"/>
    <w:rsid w:val="6A886077"/>
    <w:rsid w:val="6AB74698"/>
    <w:rsid w:val="6AC028D6"/>
    <w:rsid w:val="6B374086"/>
    <w:rsid w:val="6BB873D6"/>
    <w:rsid w:val="6BCF2D82"/>
    <w:rsid w:val="6BD13FE6"/>
    <w:rsid w:val="6BD2193D"/>
    <w:rsid w:val="6BFE2475"/>
    <w:rsid w:val="6C2E142B"/>
    <w:rsid w:val="6C8B2792"/>
    <w:rsid w:val="6C8B53A2"/>
    <w:rsid w:val="6CAC115A"/>
    <w:rsid w:val="6CAF5731"/>
    <w:rsid w:val="6CC509FF"/>
    <w:rsid w:val="6D0262E5"/>
    <w:rsid w:val="6D113F6F"/>
    <w:rsid w:val="6D5872D2"/>
    <w:rsid w:val="6DE62EE1"/>
    <w:rsid w:val="6E3C092E"/>
    <w:rsid w:val="6EA56A44"/>
    <w:rsid w:val="6EA74DF2"/>
    <w:rsid w:val="6EA9791B"/>
    <w:rsid w:val="6F165D50"/>
    <w:rsid w:val="6F391788"/>
    <w:rsid w:val="6F5B0411"/>
    <w:rsid w:val="6F83766F"/>
    <w:rsid w:val="6F9230FD"/>
    <w:rsid w:val="6FE947B1"/>
    <w:rsid w:val="6FEA0199"/>
    <w:rsid w:val="70422B57"/>
    <w:rsid w:val="70632FD7"/>
    <w:rsid w:val="70D3279C"/>
    <w:rsid w:val="70D84D10"/>
    <w:rsid w:val="70DC3F37"/>
    <w:rsid w:val="7101574F"/>
    <w:rsid w:val="712B4136"/>
    <w:rsid w:val="71E539AF"/>
    <w:rsid w:val="728C3F13"/>
    <w:rsid w:val="72AE3136"/>
    <w:rsid w:val="72DC0F02"/>
    <w:rsid w:val="73580CC3"/>
    <w:rsid w:val="7393582A"/>
    <w:rsid w:val="73AC5A1C"/>
    <w:rsid w:val="73ED1412"/>
    <w:rsid w:val="741E7E01"/>
    <w:rsid w:val="742D2E7A"/>
    <w:rsid w:val="74E672E2"/>
    <w:rsid w:val="74E831BF"/>
    <w:rsid w:val="74ED0886"/>
    <w:rsid w:val="750D506E"/>
    <w:rsid w:val="75177744"/>
    <w:rsid w:val="754046AE"/>
    <w:rsid w:val="7556507D"/>
    <w:rsid w:val="75571D55"/>
    <w:rsid w:val="75887E7C"/>
    <w:rsid w:val="76417626"/>
    <w:rsid w:val="76926C0D"/>
    <w:rsid w:val="76F276D2"/>
    <w:rsid w:val="77014012"/>
    <w:rsid w:val="776A415C"/>
    <w:rsid w:val="78080BCD"/>
    <w:rsid w:val="783114DB"/>
    <w:rsid w:val="78553F21"/>
    <w:rsid w:val="78942A0B"/>
    <w:rsid w:val="78F062CC"/>
    <w:rsid w:val="791821F1"/>
    <w:rsid w:val="791F0D44"/>
    <w:rsid w:val="797E68B1"/>
    <w:rsid w:val="79EB5C3E"/>
    <w:rsid w:val="7A03263B"/>
    <w:rsid w:val="7A2024F7"/>
    <w:rsid w:val="7A962EAF"/>
    <w:rsid w:val="7B332FB4"/>
    <w:rsid w:val="7B492952"/>
    <w:rsid w:val="7B87435B"/>
    <w:rsid w:val="7BFB2033"/>
    <w:rsid w:val="7BFF1629"/>
    <w:rsid w:val="7C2B49C7"/>
    <w:rsid w:val="7C3036C1"/>
    <w:rsid w:val="7C9106EB"/>
    <w:rsid w:val="7CB3154B"/>
    <w:rsid w:val="7CEC0067"/>
    <w:rsid w:val="7D7653D6"/>
    <w:rsid w:val="7DBB163A"/>
    <w:rsid w:val="7DC63DDC"/>
    <w:rsid w:val="7DF2089A"/>
    <w:rsid w:val="7DF73A71"/>
    <w:rsid w:val="7DF87935"/>
    <w:rsid w:val="7E0728D9"/>
    <w:rsid w:val="7E1B01F2"/>
    <w:rsid w:val="7E37429F"/>
    <w:rsid w:val="7E461362"/>
    <w:rsid w:val="7EC37706"/>
    <w:rsid w:val="7EE738F3"/>
    <w:rsid w:val="7F2555A9"/>
    <w:rsid w:val="7FC5602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63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Normal Indent" w:qFormat="1"/>
    <w:lsdException w:name="annotation text" w:uiPriority="99" w:qFormat="1"/>
    <w:lsdException w:name="caption" w:qFormat="1"/>
    <w:lsdException w:name="annotation reference" w:uiPriority="99"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iPriority="22" w:unhideWhenUsed="0" w:qFormat="1"/>
    <w:lsdException w:name="Emphasis" w:semiHidden="0" w:unhideWhenUsed="0" w:qFormat="1"/>
    <w:lsdException w:name="HTML Top of Form" w:uiPriority="99"/>
    <w:lsdException w:name="HTML Bottom of Form" w:uiPriority="99"/>
    <w:lsdException w:name="Normal (Web)" w:uiPriority="99"/>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nhideWhenUsed="0"/>
    <w:lsdException w:name="Placeholder Text" w:uiPriority="99"/>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99" w:unhideWhenUsed="0" w:qFormat="1"/>
    <w:lsdException w:name="Intense Quote" w:semiHidden="0" w:uiPriority="9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D072E2"/>
    <w:pPr>
      <w:widowControl w:val="0"/>
      <w:jc w:val="both"/>
    </w:pPr>
    <w:rPr>
      <w:kern w:val="2"/>
      <w:sz w:val="21"/>
      <w:szCs w:val="22"/>
    </w:rPr>
  </w:style>
  <w:style w:type="paragraph" w:styleId="1">
    <w:name w:val="heading 1"/>
    <w:basedOn w:val="a"/>
    <w:next w:val="a"/>
    <w:link w:val="1Char"/>
    <w:qFormat/>
    <w:rsid w:val="00D072E2"/>
    <w:pPr>
      <w:keepNext/>
      <w:keepLines/>
      <w:spacing w:before="340" w:after="330" w:line="578" w:lineRule="auto"/>
      <w:outlineLvl w:val="0"/>
    </w:pPr>
    <w:rPr>
      <w:b/>
      <w:bCs/>
      <w:kern w:val="44"/>
      <w:sz w:val="44"/>
      <w:szCs w:val="44"/>
    </w:rPr>
  </w:style>
  <w:style w:type="paragraph" w:styleId="2">
    <w:name w:val="heading 2"/>
    <w:basedOn w:val="a"/>
    <w:next w:val="a"/>
    <w:link w:val="2Char"/>
    <w:uiPriority w:val="9"/>
    <w:qFormat/>
    <w:rsid w:val="00D072E2"/>
    <w:pPr>
      <w:keepNext/>
      <w:keepLines/>
      <w:widowControl/>
      <w:spacing w:before="260" w:after="260" w:line="416" w:lineRule="auto"/>
      <w:jc w:val="left"/>
      <w:outlineLvl w:val="1"/>
    </w:pPr>
    <w:rPr>
      <w:rFonts w:ascii="Calibri Light" w:eastAsia="等线 Light" w:hAnsi="Calibri Light"/>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眉 Char"/>
    <w:link w:val="a3"/>
    <w:rsid w:val="00D072E2"/>
    <w:rPr>
      <w:rFonts w:ascii="Times New Roman" w:eastAsia="宋体" w:hAnsi="Times New Roman" w:cs="Times New Roman"/>
      <w:sz w:val="18"/>
      <w:szCs w:val="18"/>
    </w:rPr>
  </w:style>
  <w:style w:type="character" w:customStyle="1" w:styleId="Char0">
    <w:name w:val="日期 Char"/>
    <w:link w:val="a4"/>
    <w:rsid w:val="00D072E2"/>
    <w:rPr>
      <w:rFonts w:ascii="Times New Roman" w:eastAsia="宋体" w:hAnsi="Times New Roman" w:cs="Times New Roman"/>
      <w:kern w:val="2"/>
      <w:sz w:val="21"/>
      <w:szCs w:val="22"/>
    </w:rPr>
  </w:style>
  <w:style w:type="character" w:customStyle="1" w:styleId="Char1">
    <w:name w:val="批注主题 Char"/>
    <w:link w:val="a5"/>
    <w:rsid w:val="00D072E2"/>
    <w:rPr>
      <w:rFonts w:ascii="Times New Roman" w:eastAsia="宋体" w:hAnsi="Times New Roman" w:cs="Times New Roman"/>
      <w:b/>
      <w:bCs/>
    </w:rPr>
  </w:style>
  <w:style w:type="character" w:customStyle="1" w:styleId="Char2">
    <w:name w:val="批注文字 Char"/>
    <w:link w:val="a6"/>
    <w:uiPriority w:val="99"/>
    <w:qFormat/>
    <w:rsid w:val="00D072E2"/>
    <w:rPr>
      <w:rFonts w:ascii="Times New Roman" w:eastAsia="宋体" w:hAnsi="Times New Roman" w:cs="Times New Roman"/>
    </w:rPr>
  </w:style>
  <w:style w:type="character" w:customStyle="1" w:styleId="Char3">
    <w:name w:val="批注框文本 Char"/>
    <w:link w:val="a7"/>
    <w:rsid w:val="00D072E2"/>
    <w:rPr>
      <w:rFonts w:ascii="Times New Roman" w:eastAsia="宋体" w:hAnsi="Times New Roman" w:cs="Times New Roman"/>
      <w:sz w:val="18"/>
      <w:szCs w:val="18"/>
    </w:rPr>
  </w:style>
  <w:style w:type="character" w:customStyle="1" w:styleId="1Char">
    <w:name w:val="标题 1 Char"/>
    <w:link w:val="1"/>
    <w:qFormat/>
    <w:rsid w:val="00D072E2"/>
    <w:rPr>
      <w:rFonts w:ascii="Times New Roman" w:eastAsia="宋体" w:hAnsi="Times New Roman" w:cs="Times New Roman"/>
      <w:b/>
      <w:bCs/>
      <w:kern w:val="44"/>
      <w:sz w:val="44"/>
      <w:szCs w:val="44"/>
    </w:rPr>
  </w:style>
  <w:style w:type="character" w:customStyle="1" w:styleId="Char4">
    <w:name w:val="正文文本缩进 Char"/>
    <w:link w:val="a8"/>
    <w:rsid w:val="00D072E2"/>
    <w:rPr>
      <w:rFonts w:ascii="Times New Roman" w:eastAsia="仿宋_GB2312" w:hAnsi="Times New Roman" w:cs="Times New Roman"/>
      <w:sz w:val="32"/>
      <w:szCs w:val="32"/>
    </w:rPr>
  </w:style>
  <w:style w:type="character" w:styleId="a9">
    <w:name w:val="Hyperlink"/>
    <w:rsid w:val="00D072E2"/>
    <w:rPr>
      <w:rFonts w:ascii="Times New Roman" w:eastAsia="宋体" w:hAnsi="Times New Roman" w:cs="Times New Roman"/>
      <w:color w:val="0563C1"/>
      <w:u w:val="single"/>
    </w:rPr>
  </w:style>
  <w:style w:type="character" w:customStyle="1" w:styleId="2Char">
    <w:name w:val="标题 2 Char"/>
    <w:link w:val="2"/>
    <w:uiPriority w:val="9"/>
    <w:qFormat/>
    <w:rsid w:val="00D072E2"/>
    <w:rPr>
      <w:rFonts w:ascii="Calibri Light" w:eastAsia="等线 Light" w:hAnsi="Calibri Light" w:cs="Times New Roman"/>
      <w:b/>
      <w:bCs/>
      <w:sz w:val="32"/>
      <w:szCs w:val="32"/>
    </w:rPr>
  </w:style>
  <w:style w:type="character" w:customStyle="1" w:styleId="bumpedfont15">
    <w:name w:val="bumpedfont15"/>
    <w:rsid w:val="00D072E2"/>
    <w:rPr>
      <w:rFonts w:ascii="Times New Roman" w:eastAsia="宋体" w:hAnsi="Times New Roman" w:cs="Times New Roman"/>
    </w:rPr>
  </w:style>
  <w:style w:type="character" w:styleId="aa">
    <w:name w:val="annotation reference"/>
    <w:uiPriority w:val="99"/>
    <w:qFormat/>
    <w:rsid w:val="00D072E2"/>
    <w:rPr>
      <w:rFonts w:ascii="Times New Roman" w:eastAsia="宋体" w:hAnsi="Times New Roman" w:cs="Times New Roman"/>
      <w:sz w:val="21"/>
      <w:szCs w:val="21"/>
    </w:rPr>
  </w:style>
  <w:style w:type="character" w:customStyle="1" w:styleId="Char5">
    <w:name w:val="正文文本 Char"/>
    <w:link w:val="ab"/>
    <w:rsid w:val="00D072E2"/>
    <w:rPr>
      <w:rFonts w:ascii="Times New Roman" w:eastAsia="仿宋_GB2312" w:hAnsi="Times New Roman" w:cs="Times New Roman"/>
      <w:sz w:val="32"/>
      <w:szCs w:val="32"/>
    </w:rPr>
  </w:style>
  <w:style w:type="character" w:customStyle="1" w:styleId="Char6">
    <w:name w:val="页脚 Char"/>
    <w:link w:val="ac"/>
    <w:rsid w:val="00D072E2"/>
    <w:rPr>
      <w:rFonts w:ascii="Times New Roman" w:eastAsia="宋体" w:hAnsi="Times New Roman" w:cs="Times New Roman"/>
      <w:sz w:val="18"/>
      <w:szCs w:val="18"/>
    </w:rPr>
  </w:style>
  <w:style w:type="paragraph" w:styleId="ad">
    <w:name w:val="Revision"/>
    <w:rsid w:val="00D072E2"/>
    <w:rPr>
      <w:kern w:val="2"/>
      <w:sz w:val="21"/>
      <w:szCs w:val="22"/>
    </w:rPr>
  </w:style>
  <w:style w:type="paragraph" w:styleId="20">
    <w:name w:val="toc 2"/>
    <w:basedOn w:val="a"/>
    <w:next w:val="a"/>
    <w:rsid w:val="00D072E2"/>
    <w:pPr>
      <w:ind w:leftChars="200" w:left="420"/>
    </w:pPr>
  </w:style>
  <w:style w:type="paragraph" w:styleId="a3">
    <w:name w:val="header"/>
    <w:basedOn w:val="a"/>
    <w:link w:val="Char"/>
    <w:rsid w:val="00D072E2"/>
    <w:pPr>
      <w:pBdr>
        <w:bottom w:val="single" w:sz="6" w:space="1" w:color="auto"/>
      </w:pBdr>
      <w:tabs>
        <w:tab w:val="center" w:pos="4153"/>
        <w:tab w:val="right" w:pos="8306"/>
      </w:tabs>
      <w:snapToGrid w:val="0"/>
      <w:jc w:val="center"/>
    </w:pPr>
    <w:rPr>
      <w:kern w:val="0"/>
      <w:sz w:val="18"/>
      <w:szCs w:val="18"/>
    </w:rPr>
  </w:style>
  <w:style w:type="paragraph" w:styleId="a7">
    <w:name w:val="Balloon Text"/>
    <w:basedOn w:val="a"/>
    <w:link w:val="Char3"/>
    <w:rsid w:val="00D072E2"/>
    <w:rPr>
      <w:kern w:val="0"/>
      <w:sz w:val="18"/>
      <w:szCs w:val="18"/>
    </w:rPr>
  </w:style>
  <w:style w:type="paragraph" w:styleId="a5">
    <w:name w:val="annotation subject"/>
    <w:basedOn w:val="a6"/>
    <w:next w:val="a6"/>
    <w:link w:val="Char1"/>
    <w:rsid w:val="00D072E2"/>
    <w:rPr>
      <w:b/>
      <w:bCs/>
    </w:rPr>
  </w:style>
  <w:style w:type="paragraph" w:styleId="ab">
    <w:name w:val="Body Text"/>
    <w:basedOn w:val="a"/>
    <w:link w:val="Char5"/>
    <w:rsid w:val="00D072E2"/>
    <w:pPr>
      <w:spacing w:after="120"/>
    </w:pPr>
    <w:rPr>
      <w:rFonts w:eastAsia="仿宋_GB2312"/>
      <w:kern w:val="0"/>
      <w:sz w:val="32"/>
      <w:szCs w:val="32"/>
    </w:rPr>
  </w:style>
  <w:style w:type="paragraph" w:styleId="a4">
    <w:name w:val="Date"/>
    <w:basedOn w:val="a"/>
    <w:next w:val="a"/>
    <w:link w:val="Char0"/>
    <w:rsid w:val="00D072E2"/>
    <w:pPr>
      <w:ind w:leftChars="2500" w:left="100"/>
    </w:pPr>
  </w:style>
  <w:style w:type="paragraph" w:customStyle="1" w:styleId="CharCharCharChar">
    <w:name w:val="Char Char Char Char"/>
    <w:basedOn w:val="a"/>
    <w:rsid w:val="00D072E2"/>
    <w:rPr>
      <w:szCs w:val="24"/>
    </w:rPr>
  </w:style>
  <w:style w:type="paragraph" w:styleId="ac">
    <w:name w:val="footer"/>
    <w:basedOn w:val="a"/>
    <w:link w:val="Char6"/>
    <w:rsid w:val="00D072E2"/>
    <w:pPr>
      <w:tabs>
        <w:tab w:val="center" w:pos="4153"/>
        <w:tab w:val="right" w:pos="8306"/>
      </w:tabs>
      <w:snapToGrid w:val="0"/>
      <w:jc w:val="left"/>
    </w:pPr>
    <w:rPr>
      <w:kern w:val="0"/>
      <w:sz w:val="18"/>
      <w:szCs w:val="18"/>
    </w:rPr>
  </w:style>
  <w:style w:type="paragraph" w:styleId="a8">
    <w:name w:val="Body Text Indent"/>
    <w:basedOn w:val="a"/>
    <w:link w:val="Char4"/>
    <w:rsid w:val="00D072E2"/>
    <w:pPr>
      <w:spacing w:after="120"/>
      <w:ind w:leftChars="200" w:left="420"/>
    </w:pPr>
    <w:rPr>
      <w:rFonts w:eastAsia="仿宋_GB2312"/>
      <w:kern w:val="0"/>
      <w:sz w:val="32"/>
      <w:szCs w:val="32"/>
    </w:rPr>
  </w:style>
  <w:style w:type="paragraph" w:styleId="ae">
    <w:name w:val="Normal (Web)"/>
    <w:basedOn w:val="a"/>
    <w:uiPriority w:val="99"/>
    <w:rsid w:val="00D072E2"/>
    <w:pPr>
      <w:widowControl/>
      <w:spacing w:before="100" w:beforeAutospacing="1" w:after="100" w:afterAutospacing="1"/>
      <w:jc w:val="left"/>
    </w:pPr>
    <w:rPr>
      <w:rFonts w:ascii="宋体" w:hAnsi="宋体" w:cs="宋体"/>
      <w:kern w:val="0"/>
      <w:sz w:val="24"/>
      <w:szCs w:val="24"/>
    </w:rPr>
  </w:style>
  <w:style w:type="paragraph" w:styleId="af">
    <w:name w:val="Normal Indent"/>
    <w:basedOn w:val="a"/>
    <w:qFormat/>
    <w:rsid w:val="00D072E2"/>
    <w:pPr>
      <w:ind w:firstLineChars="200" w:firstLine="420"/>
    </w:pPr>
  </w:style>
  <w:style w:type="paragraph" w:customStyle="1" w:styleId="10">
    <w:name w:val="列出段落1"/>
    <w:basedOn w:val="a"/>
    <w:rsid w:val="00D072E2"/>
    <w:pPr>
      <w:widowControl/>
      <w:adjustRightInd w:val="0"/>
      <w:snapToGrid w:val="0"/>
      <w:spacing w:after="200"/>
      <w:ind w:firstLineChars="200" w:firstLine="420"/>
      <w:jc w:val="left"/>
    </w:pPr>
    <w:rPr>
      <w:rFonts w:ascii="Tahoma" w:eastAsia="微软雅黑" w:hAnsi="Tahoma"/>
      <w:kern w:val="0"/>
      <w:sz w:val="22"/>
    </w:rPr>
  </w:style>
  <w:style w:type="paragraph" w:customStyle="1" w:styleId="CharCharCharCharCharCharCharCharCharCharCharChar">
    <w:name w:val="Char Char Char Char Char Char Char Char Char Char Char Char"/>
    <w:basedOn w:val="a"/>
    <w:rsid w:val="00D072E2"/>
    <w:rPr>
      <w:szCs w:val="20"/>
    </w:rPr>
  </w:style>
  <w:style w:type="paragraph" w:styleId="11">
    <w:name w:val="toc 1"/>
    <w:basedOn w:val="a"/>
    <w:next w:val="a"/>
    <w:rsid w:val="00D072E2"/>
    <w:pPr>
      <w:tabs>
        <w:tab w:val="right" w:leader="dot" w:pos="8296"/>
      </w:tabs>
    </w:pPr>
  </w:style>
  <w:style w:type="paragraph" w:styleId="a6">
    <w:name w:val="annotation text"/>
    <w:basedOn w:val="a"/>
    <w:link w:val="Char2"/>
    <w:uiPriority w:val="99"/>
    <w:qFormat/>
    <w:rsid w:val="00D072E2"/>
    <w:pPr>
      <w:jc w:val="left"/>
    </w:pPr>
    <w:rPr>
      <w:kern w:val="0"/>
      <w:sz w:val="20"/>
      <w:szCs w:val="20"/>
    </w:rPr>
  </w:style>
  <w:style w:type="paragraph" w:styleId="af0">
    <w:name w:val="List Paragraph"/>
    <w:basedOn w:val="a"/>
    <w:uiPriority w:val="34"/>
    <w:qFormat/>
    <w:rsid w:val="00D072E2"/>
    <w:pPr>
      <w:ind w:firstLineChars="200" w:firstLine="420"/>
    </w:pPr>
  </w:style>
  <w:style w:type="paragraph" w:customStyle="1" w:styleId="CharCharCharCharCharCharCharCharCharCharCharChar0">
    <w:name w:val="Char Char Char Char Char Char Char Char Char Char Char Char"/>
    <w:basedOn w:val="a"/>
    <w:rsid w:val="00D072E2"/>
    <w:rPr>
      <w:szCs w:val="20"/>
    </w:rPr>
  </w:style>
  <w:style w:type="paragraph" w:customStyle="1" w:styleId="CharCharCharChar0">
    <w:name w:val="Char Char Char Char"/>
    <w:basedOn w:val="a"/>
    <w:rsid w:val="00D072E2"/>
    <w:rPr>
      <w:szCs w:val="24"/>
    </w:rPr>
  </w:style>
  <w:style w:type="paragraph" w:customStyle="1" w:styleId="af1">
    <w:name w:val="第一条"/>
    <w:basedOn w:val="a"/>
    <w:next w:val="af"/>
    <w:qFormat/>
    <w:rsid w:val="00D072E2"/>
    <w:pPr>
      <w:spacing w:line="360" w:lineRule="auto"/>
      <w:jc w:val="center"/>
    </w:pPr>
    <w:rPr>
      <w:rFonts w:hAnsi="宋体"/>
      <w:sz w:val="24"/>
      <w:szCs w:val="24"/>
    </w:rPr>
  </w:style>
  <w:style w:type="paragraph" w:styleId="TOC">
    <w:name w:val="TOC Heading"/>
    <w:basedOn w:val="1"/>
    <w:next w:val="a"/>
    <w:qFormat/>
    <w:rsid w:val="00D072E2"/>
    <w:pPr>
      <w:widowControl/>
      <w:spacing w:before="240" w:after="0" w:line="259" w:lineRule="auto"/>
      <w:jc w:val="left"/>
      <w:outlineLvl w:val="9"/>
    </w:pPr>
    <w:rPr>
      <w:rFonts w:ascii="Calibri Light" w:hAnsi="Calibri Light"/>
      <w:b w:val="0"/>
      <w:bCs w:val="0"/>
      <w:color w:val="2E74B5"/>
      <w:kern w:val="0"/>
      <w:sz w:val="32"/>
      <w:szCs w:val="32"/>
    </w:rPr>
  </w:style>
  <w:style w:type="paragraph" w:styleId="af2">
    <w:name w:val="No Spacing"/>
    <w:uiPriority w:val="1"/>
    <w:qFormat/>
    <w:rsid w:val="00D072E2"/>
    <w:pPr>
      <w:widowControl w:val="0"/>
      <w:jc w:val="both"/>
    </w:pPr>
    <w:rPr>
      <w:rFonts w:ascii="Calibri" w:eastAsia="等线" w:hAnsi="Calibri"/>
      <w:kern w:val="2"/>
      <w:sz w:val="24"/>
      <w:szCs w:val="24"/>
    </w:rPr>
  </w:style>
  <w:style w:type="table" w:styleId="af3">
    <w:name w:val="Table Grid"/>
    <w:basedOn w:val="a1"/>
    <w:rsid w:val="00D072E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Strong"/>
    <w:uiPriority w:val="22"/>
    <w:qFormat/>
    <w:rsid w:val="00E671CF"/>
    <w:rPr>
      <w:rFonts w:ascii="Times New Roman" w:eastAsia="宋体" w:hAnsi="Times New Roman" w:cs="Times New Roman"/>
      <w:b/>
      <w:bCs/>
    </w:rPr>
  </w:style>
</w:styles>
</file>

<file path=word/webSettings.xml><?xml version="1.0" encoding="utf-8"?>
<w:webSettings xmlns:r="http://schemas.openxmlformats.org/officeDocument/2006/relationships" xmlns:w="http://schemas.openxmlformats.org/wordprocessingml/2006/main">
  <w:divs>
    <w:div w:id="73161219">
      <w:bodyDiv w:val="1"/>
      <w:marLeft w:val="0"/>
      <w:marRight w:val="0"/>
      <w:marTop w:val="0"/>
      <w:marBottom w:val="0"/>
      <w:divBdr>
        <w:top w:val="none" w:sz="0" w:space="0" w:color="auto"/>
        <w:left w:val="none" w:sz="0" w:space="0" w:color="auto"/>
        <w:bottom w:val="none" w:sz="0" w:space="0" w:color="auto"/>
        <w:right w:val="none" w:sz="0" w:space="0" w:color="auto"/>
      </w:divBdr>
    </w:div>
    <w:div w:id="94597801">
      <w:bodyDiv w:val="1"/>
      <w:marLeft w:val="0"/>
      <w:marRight w:val="0"/>
      <w:marTop w:val="0"/>
      <w:marBottom w:val="0"/>
      <w:divBdr>
        <w:top w:val="none" w:sz="0" w:space="0" w:color="auto"/>
        <w:left w:val="none" w:sz="0" w:space="0" w:color="auto"/>
        <w:bottom w:val="none" w:sz="0" w:space="0" w:color="auto"/>
        <w:right w:val="none" w:sz="0" w:space="0" w:color="auto"/>
      </w:divBdr>
    </w:div>
    <w:div w:id="186334005">
      <w:bodyDiv w:val="1"/>
      <w:marLeft w:val="0"/>
      <w:marRight w:val="0"/>
      <w:marTop w:val="0"/>
      <w:marBottom w:val="0"/>
      <w:divBdr>
        <w:top w:val="none" w:sz="0" w:space="0" w:color="auto"/>
        <w:left w:val="none" w:sz="0" w:space="0" w:color="auto"/>
        <w:bottom w:val="none" w:sz="0" w:space="0" w:color="auto"/>
        <w:right w:val="none" w:sz="0" w:space="0" w:color="auto"/>
      </w:divBdr>
    </w:div>
    <w:div w:id="1091778984">
      <w:bodyDiv w:val="1"/>
      <w:marLeft w:val="0"/>
      <w:marRight w:val="0"/>
      <w:marTop w:val="0"/>
      <w:marBottom w:val="0"/>
      <w:divBdr>
        <w:top w:val="none" w:sz="0" w:space="0" w:color="auto"/>
        <w:left w:val="none" w:sz="0" w:space="0" w:color="auto"/>
        <w:bottom w:val="none" w:sz="0" w:space="0" w:color="auto"/>
        <w:right w:val="none" w:sz="0" w:space="0" w:color="auto"/>
      </w:divBdr>
    </w:div>
    <w:div w:id="1132792068">
      <w:bodyDiv w:val="1"/>
      <w:marLeft w:val="0"/>
      <w:marRight w:val="0"/>
      <w:marTop w:val="0"/>
      <w:marBottom w:val="0"/>
      <w:divBdr>
        <w:top w:val="none" w:sz="0" w:space="0" w:color="auto"/>
        <w:left w:val="none" w:sz="0" w:space="0" w:color="auto"/>
        <w:bottom w:val="none" w:sz="0" w:space="0" w:color="auto"/>
        <w:right w:val="none" w:sz="0" w:space="0" w:color="auto"/>
      </w:divBdr>
    </w:div>
    <w:div w:id="1486892172">
      <w:bodyDiv w:val="1"/>
      <w:marLeft w:val="0"/>
      <w:marRight w:val="0"/>
      <w:marTop w:val="0"/>
      <w:marBottom w:val="0"/>
      <w:divBdr>
        <w:top w:val="none" w:sz="0" w:space="0" w:color="auto"/>
        <w:left w:val="none" w:sz="0" w:space="0" w:color="auto"/>
        <w:bottom w:val="none" w:sz="0" w:space="0" w:color="auto"/>
        <w:right w:val="none" w:sz="0" w:space="0" w:color="auto"/>
      </w:divBdr>
    </w:div>
    <w:div w:id="1670131315">
      <w:bodyDiv w:val="1"/>
      <w:marLeft w:val="0"/>
      <w:marRight w:val="0"/>
      <w:marTop w:val="0"/>
      <w:marBottom w:val="0"/>
      <w:divBdr>
        <w:top w:val="none" w:sz="0" w:space="0" w:color="auto"/>
        <w:left w:val="none" w:sz="0" w:space="0" w:color="auto"/>
        <w:bottom w:val="none" w:sz="0" w:space="0" w:color="auto"/>
        <w:right w:val="none" w:sz="0" w:space="0" w:color="auto"/>
      </w:divBdr>
    </w:div>
    <w:div w:id="2032562569">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EEE7E9-4189-463C-90E4-FAC54B5E95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TotalTime>
  <Pages>34</Pages>
  <Words>2439</Words>
  <Characters>13907</Characters>
  <Application>Microsoft Office Word</Application>
  <DocSecurity>0</DocSecurity>
  <PresentationFormat/>
  <Lines>115</Lines>
  <Paragraphs>32</Paragraphs>
  <Slides>0</Slides>
  <Notes>0</Notes>
  <HiddenSlides>0</HiddenSlides>
  <MMClips>0</MMClips>
  <ScaleCrop>false</ScaleCrop>
  <Company>CHINA</Company>
  <LinksUpToDate>false</LinksUpToDate>
  <CharactersWithSpaces>16314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电力中长期交易基本规则</dc:title>
  <dc:creator>Administrator</dc:creator>
  <cp:lastModifiedBy>微软用户</cp:lastModifiedBy>
  <cp:revision>46</cp:revision>
  <cp:lastPrinted>2019-09-03T01:43:00Z</cp:lastPrinted>
  <dcterms:created xsi:type="dcterms:W3CDTF">2019-12-05T03:12:00Z</dcterms:created>
  <dcterms:modified xsi:type="dcterms:W3CDTF">2020-01-21T09:08:00Z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ies>
</file>